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ECC9A" w14:textId="77777777" w:rsidR="00346ADF" w:rsidRPr="00954285" w:rsidRDefault="00CE705B">
      <w:pPr>
        <w:rPr>
          <w:rFonts w:cstheme="minorHAnsi"/>
          <w:sz w:val="28"/>
          <w:szCs w:val="28"/>
        </w:rPr>
      </w:pPr>
      <w:r w:rsidRPr="00954285">
        <w:rPr>
          <w:rFonts w:cstheme="minorHAnsi"/>
          <w:sz w:val="28"/>
          <w:szCs w:val="28"/>
        </w:rPr>
        <w:t>Auf andere Art Kampagne sein</w:t>
      </w:r>
    </w:p>
    <w:p w14:paraId="53AC054A" w14:textId="77777777" w:rsidR="00CE705B" w:rsidRPr="00954285" w:rsidRDefault="00CE705B">
      <w:pPr>
        <w:rPr>
          <w:rFonts w:cstheme="minorHAnsi"/>
        </w:rPr>
      </w:pPr>
      <w:r w:rsidRPr="00954285">
        <w:rPr>
          <w:rFonts w:cstheme="minorHAnsi"/>
        </w:rPr>
        <w:t>Mobilisierungskampagnen unter den Bedingungen der großen Transformation</w:t>
      </w:r>
    </w:p>
    <w:p w14:paraId="0953BD74" w14:textId="77777777" w:rsidR="009C54B0" w:rsidRPr="00954285" w:rsidRDefault="009C54B0">
      <w:pPr>
        <w:rPr>
          <w:rFonts w:cstheme="minorHAnsi"/>
        </w:rPr>
      </w:pPr>
    </w:p>
    <w:p w14:paraId="6C97CF40" w14:textId="77777777" w:rsidR="009C54B0" w:rsidRPr="00954285" w:rsidRDefault="009C54B0">
      <w:pPr>
        <w:rPr>
          <w:rFonts w:cstheme="minorHAnsi"/>
        </w:rPr>
      </w:pPr>
    </w:p>
    <w:p w14:paraId="16F6A85D" w14:textId="77777777" w:rsidR="009C54B0" w:rsidRPr="00954285" w:rsidRDefault="009C54B0">
      <w:pPr>
        <w:rPr>
          <w:rFonts w:cstheme="minorHAnsi"/>
        </w:rPr>
      </w:pPr>
    </w:p>
    <w:p w14:paraId="0FA5B0A9" w14:textId="77777777" w:rsidR="009C54B0" w:rsidRPr="00954285" w:rsidRDefault="009C54B0">
      <w:pPr>
        <w:rPr>
          <w:rFonts w:cstheme="minorHAnsi"/>
        </w:rPr>
      </w:pPr>
    </w:p>
    <w:p w14:paraId="6276F1B3" w14:textId="77777777" w:rsidR="00954285" w:rsidRDefault="00954285">
      <w:pPr>
        <w:rPr>
          <w:rFonts w:cstheme="minorHAnsi"/>
        </w:rPr>
      </w:pPr>
    </w:p>
    <w:p w14:paraId="0823439C" w14:textId="77777777" w:rsidR="00954285" w:rsidRDefault="00954285">
      <w:pPr>
        <w:rPr>
          <w:rFonts w:cstheme="minorHAnsi"/>
        </w:rPr>
      </w:pPr>
    </w:p>
    <w:p w14:paraId="4BE57A82" w14:textId="77777777" w:rsidR="00954285" w:rsidRDefault="00954285">
      <w:pPr>
        <w:rPr>
          <w:rFonts w:cstheme="minorHAnsi"/>
        </w:rPr>
      </w:pPr>
    </w:p>
    <w:p w14:paraId="3D99A7F7" w14:textId="77777777" w:rsidR="00954285" w:rsidRDefault="00954285">
      <w:pPr>
        <w:rPr>
          <w:rFonts w:cstheme="minorHAnsi"/>
        </w:rPr>
      </w:pPr>
    </w:p>
    <w:p w14:paraId="4ACD874C" w14:textId="77777777" w:rsidR="00954285" w:rsidRDefault="00954285">
      <w:pPr>
        <w:rPr>
          <w:rFonts w:cstheme="minorHAnsi"/>
        </w:rPr>
      </w:pPr>
    </w:p>
    <w:p w14:paraId="49CC3CE9" w14:textId="77777777" w:rsidR="00954285" w:rsidRDefault="00954285">
      <w:pPr>
        <w:rPr>
          <w:rFonts w:cstheme="minorHAnsi"/>
        </w:rPr>
      </w:pPr>
    </w:p>
    <w:p w14:paraId="3B49895E" w14:textId="77777777" w:rsidR="00954285" w:rsidRDefault="00954285">
      <w:pPr>
        <w:rPr>
          <w:rFonts w:cstheme="minorHAnsi"/>
        </w:rPr>
      </w:pPr>
    </w:p>
    <w:p w14:paraId="0F27A302" w14:textId="77777777" w:rsidR="00954285" w:rsidRDefault="00954285">
      <w:pPr>
        <w:rPr>
          <w:rFonts w:cstheme="minorHAnsi"/>
        </w:rPr>
      </w:pPr>
    </w:p>
    <w:p w14:paraId="7EA53E9E" w14:textId="77777777" w:rsidR="00954285" w:rsidRDefault="00954285">
      <w:pPr>
        <w:rPr>
          <w:rFonts w:cstheme="minorHAnsi"/>
        </w:rPr>
      </w:pPr>
    </w:p>
    <w:p w14:paraId="24602AC3" w14:textId="77777777" w:rsidR="00954285" w:rsidRDefault="00954285">
      <w:pPr>
        <w:rPr>
          <w:rFonts w:cstheme="minorHAnsi"/>
        </w:rPr>
      </w:pPr>
    </w:p>
    <w:p w14:paraId="18553BF5" w14:textId="77777777" w:rsidR="00954285" w:rsidRDefault="00954285">
      <w:pPr>
        <w:rPr>
          <w:rFonts w:cstheme="minorHAnsi"/>
        </w:rPr>
      </w:pPr>
    </w:p>
    <w:p w14:paraId="18E9D390" w14:textId="77777777" w:rsidR="00954285" w:rsidRDefault="00954285">
      <w:pPr>
        <w:rPr>
          <w:rFonts w:cstheme="minorHAnsi"/>
        </w:rPr>
      </w:pPr>
    </w:p>
    <w:p w14:paraId="5D65FF92" w14:textId="77777777" w:rsidR="00954285" w:rsidRDefault="00954285">
      <w:pPr>
        <w:rPr>
          <w:rFonts w:cstheme="minorHAnsi"/>
        </w:rPr>
      </w:pPr>
    </w:p>
    <w:p w14:paraId="2D0A7016" w14:textId="77777777" w:rsidR="00954285" w:rsidRDefault="00954285">
      <w:pPr>
        <w:rPr>
          <w:rFonts w:cstheme="minorHAnsi"/>
        </w:rPr>
      </w:pPr>
    </w:p>
    <w:p w14:paraId="047AD2FD" w14:textId="77777777" w:rsidR="009C54B0" w:rsidRPr="00E63BDB" w:rsidRDefault="009C54B0">
      <w:pPr>
        <w:rPr>
          <w:rFonts w:cstheme="minorHAnsi"/>
          <w:lang w:val="en-US"/>
        </w:rPr>
      </w:pPr>
      <w:r w:rsidRPr="00E63BDB">
        <w:rPr>
          <w:rFonts w:cstheme="minorHAnsi"/>
          <w:lang w:val="en-US"/>
        </w:rPr>
        <w:t xml:space="preserve">Pia Sue </w:t>
      </w:r>
      <w:proofErr w:type="spellStart"/>
      <w:r w:rsidRPr="00E63BDB">
        <w:rPr>
          <w:rFonts w:cstheme="minorHAnsi"/>
          <w:lang w:val="en-US"/>
        </w:rPr>
        <w:t>Helferich</w:t>
      </w:r>
      <w:proofErr w:type="spellEnd"/>
    </w:p>
    <w:p w14:paraId="76FCE2F6" w14:textId="77777777" w:rsidR="009C54B0" w:rsidRPr="00E63BDB" w:rsidRDefault="009C54B0">
      <w:pPr>
        <w:rPr>
          <w:rFonts w:cstheme="minorHAnsi"/>
          <w:lang w:val="en-US"/>
        </w:rPr>
      </w:pPr>
      <w:r w:rsidRPr="00E63BDB">
        <w:rPr>
          <w:rFonts w:cstheme="minorHAnsi"/>
          <w:lang w:val="en-US"/>
        </w:rPr>
        <w:t>Thomas Pleil</w:t>
      </w:r>
    </w:p>
    <w:p w14:paraId="5E9BFA44" w14:textId="77777777" w:rsidR="009C54B0" w:rsidRPr="00E63BDB" w:rsidRDefault="009C54B0">
      <w:pPr>
        <w:rPr>
          <w:rFonts w:cstheme="minorHAnsi"/>
          <w:lang w:val="en-US"/>
        </w:rPr>
      </w:pPr>
      <w:r w:rsidRPr="00E63BDB">
        <w:rPr>
          <w:rFonts w:cstheme="minorHAnsi"/>
          <w:lang w:val="en-US"/>
        </w:rPr>
        <w:t>Lars Rademacher</w:t>
      </w:r>
    </w:p>
    <w:p w14:paraId="20DCE922" w14:textId="77777777" w:rsidR="009C54B0" w:rsidRPr="00E63BDB" w:rsidRDefault="009C54B0">
      <w:pPr>
        <w:rPr>
          <w:rFonts w:cstheme="minorHAnsi"/>
          <w:lang w:val="en-US"/>
        </w:rPr>
      </w:pPr>
    </w:p>
    <w:p w14:paraId="55E87C71" w14:textId="77777777" w:rsidR="00EC7A31" w:rsidRPr="00954285" w:rsidRDefault="00EC7A31" w:rsidP="00EC7A31">
      <w:pPr>
        <w:rPr>
          <w:rFonts w:eastAsia="Times New Roman" w:cstheme="minorHAnsi"/>
          <w:lang w:eastAsia="de-DE"/>
        </w:rPr>
      </w:pPr>
      <w:r w:rsidRPr="00A75F18">
        <w:rPr>
          <w:rFonts w:eastAsia="Times New Roman" w:cstheme="minorHAnsi"/>
          <w:sz w:val="20"/>
          <w:szCs w:val="20"/>
          <w:lang w:eastAsia="de-DE"/>
        </w:rPr>
        <w:br/>
      </w:r>
      <w:r w:rsidRPr="00A75F18">
        <w:rPr>
          <w:rFonts w:eastAsia="Times New Roman" w:cstheme="minorHAnsi"/>
          <w:sz w:val="20"/>
          <w:szCs w:val="20"/>
          <w:lang w:eastAsia="de-DE"/>
        </w:rPr>
        <w:br/>
      </w:r>
      <w:r w:rsidRPr="00A75F18">
        <w:rPr>
          <w:rFonts w:eastAsia="Times New Roman" w:cstheme="minorHAnsi"/>
          <w:lang w:eastAsia="de-DE"/>
        </w:rPr>
        <w:br/>
      </w:r>
      <w:r w:rsidRPr="00EC7A31">
        <w:rPr>
          <w:rFonts w:eastAsia="Times New Roman" w:cstheme="minorHAnsi"/>
          <w:lang w:eastAsia="de-DE"/>
        </w:rPr>
        <w:t xml:space="preserve">Hochschule Darmstadt - University </w:t>
      </w:r>
      <w:proofErr w:type="spellStart"/>
      <w:r w:rsidRPr="00EC7A31">
        <w:rPr>
          <w:rFonts w:eastAsia="Times New Roman" w:cstheme="minorHAnsi"/>
          <w:lang w:eastAsia="de-DE"/>
        </w:rPr>
        <w:t>of</w:t>
      </w:r>
      <w:proofErr w:type="spellEnd"/>
      <w:r w:rsidRPr="00EC7A31">
        <w:rPr>
          <w:rFonts w:eastAsia="Times New Roman" w:cstheme="minorHAnsi"/>
          <w:lang w:eastAsia="de-DE"/>
        </w:rPr>
        <w:t xml:space="preserve"> Applied </w:t>
      </w:r>
      <w:proofErr w:type="spellStart"/>
      <w:r w:rsidRPr="00EC7A31">
        <w:rPr>
          <w:rFonts w:eastAsia="Times New Roman" w:cstheme="minorHAnsi"/>
          <w:lang w:eastAsia="de-DE"/>
        </w:rPr>
        <w:t>Sciences</w:t>
      </w:r>
      <w:proofErr w:type="spellEnd"/>
      <w:r w:rsidRPr="00EC7A31">
        <w:rPr>
          <w:rFonts w:eastAsia="Times New Roman" w:cstheme="minorHAnsi"/>
          <w:lang w:eastAsia="de-DE"/>
        </w:rPr>
        <w:br/>
        <w:t xml:space="preserve">Fachbereich Media </w:t>
      </w:r>
      <w:r w:rsidRPr="00EC7A31">
        <w:rPr>
          <w:rFonts w:eastAsia="Times New Roman" w:cstheme="minorHAnsi"/>
          <w:lang w:eastAsia="de-DE"/>
        </w:rPr>
        <w:br/>
        <w:t>Mediencampus Dieburg, Max-Planck-Str. 2</w:t>
      </w:r>
      <w:r w:rsidRPr="00EC7A31">
        <w:rPr>
          <w:rFonts w:eastAsia="Times New Roman" w:cstheme="minorHAnsi"/>
          <w:lang w:eastAsia="de-DE"/>
        </w:rPr>
        <w:br/>
        <w:t>64807 Dieburg, Germany</w:t>
      </w:r>
      <w:r w:rsidRPr="00EC7A31">
        <w:rPr>
          <w:rFonts w:eastAsia="Times New Roman" w:cstheme="minorHAnsi"/>
          <w:lang w:eastAsia="de-DE"/>
        </w:rPr>
        <w:br/>
      </w:r>
    </w:p>
    <w:p w14:paraId="52FAD2A4" w14:textId="77777777" w:rsidR="00EC7A31" w:rsidRPr="00954285" w:rsidRDefault="00EC7A31" w:rsidP="00EC7A31">
      <w:pPr>
        <w:rPr>
          <w:rFonts w:eastAsia="Times New Roman" w:cstheme="minorHAnsi"/>
          <w:lang w:eastAsia="de-DE"/>
        </w:rPr>
      </w:pPr>
      <w:r w:rsidRPr="00954285">
        <w:rPr>
          <w:rFonts w:eastAsia="Times New Roman" w:cstheme="minorHAnsi"/>
          <w:lang w:eastAsia="de-DE"/>
        </w:rPr>
        <w:t>Kontaktdaten des korrespondieren Autors:</w:t>
      </w:r>
    </w:p>
    <w:p w14:paraId="7B6FC460" w14:textId="77777777" w:rsidR="00EC7A31" w:rsidRPr="00EC7A31" w:rsidRDefault="00EC7A31" w:rsidP="00EC7A31">
      <w:pPr>
        <w:rPr>
          <w:rFonts w:eastAsia="Times New Roman" w:cstheme="minorHAnsi"/>
          <w:lang w:eastAsia="de-DE"/>
        </w:rPr>
      </w:pPr>
      <w:r w:rsidRPr="00EC7A31">
        <w:rPr>
          <w:rFonts w:eastAsia="Times New Roman" w:cstheme="minorHAnsi"/>
          <w:lang w:eastAsia="de-DE"/>
        </w:rPr>
        <w:br/>
        <w:t>lars.rademacher@h-da.de</w:t>
      </w:r>
      <w:r w:rsidRPr="00EC7A31">
        <w:rPr>
          <w:rFonts w:eastAsia="Times New Roman" w:cstheme="minorHAnsi"/>
          <w:lang w:eastAsia="de-DE"/>
        </w:rPr>
        <w:br/>
        <w:t xml:space="preserve">Tel +49 (0) 6151/16-39443 </w:t>
      </w:r>
    </w:p>
    <w:p w14:paraId="09CD9F2C" w14:textId="77777777" w:rsidR="00954285" w:rsidRDefault="00954285">
      <w:pPr>
        <w:rPr>
          <w:rFonts w:cstheme="minorHAnsi"/>
        </w:rPr>
      </w:pPr>
      <w:r>
        <w:rPr>
          <w:rFonts w:cstheme="minorHAnsi"/>
        </w:rPr>
        <w:br w:type="page"/>
      </w:r>
    </w:p>
    <w:p w14:paraId="30601E0C" w14:textId="77777777" w:rsidR="00954285" w:rsidRPr="00954285" w:rsidRDefault="00954285" w:rsidP="00954285">
      <w:pPr>
        <w:rPr>
          <w:rFonts w:cstheme="minorHAnsi"/>
          <w:sz w:val="28"/>
          <w:szCs w:val="28"/>
        </w:rPr>
      </w:pPr>
      <w:r w:rsidRPr="00954285">
        <w:rPr>
          <w:rFonts w:cstheme="minorHAnsi"/>
          <w:sz w:val="28"/>
          <w:szCs w:val="28"/>
        </w:rPr>
        <w:lastRenderedPageBreak/>
        <w:t>Auf andere Art Kampagne sein</w:t>
      </w:r>
    </w:p>
    <w:p w14:paraId="726D7BA3" w14:textId="77777777" w:rsidR="00954285" w:rsidRPr="00954285" w:rsidRDefault="00954285" w:rsidP="00954285">
      <w:pPr>
        <w:rPr>
          <w:rFonts w:cstheme="minorHAnsi"/>
        </w:rPr>
      </w:pPr>
      <w:r w:rsidRPr="00954285">
        <w:rPr>
          <w:rFonts w:cstheme="minorHAnsi"/>
        </w:rPr>
        <w:t>Mobilisierungskampagnen unter den Bedingungen der großen Transformation</w:t>
      </w:r>
    </w:p>
    <w:p w14:paraId="6D2D0EC7" w14:textId="77777777" w:rsidR="00954285" w:rsidRPr="00954285" w:rsidRDefault="00954285" w:rsidP="00954285">
      <w:pPr>
        <w:rPr>
          <w:rFonts w:cstheme="minorHAnsi"/>
        </w:rPr>
      </w:pPr>
    </w:p>
    <w:p w14:paraId="749CDE27" w14:textId="77777777" w:rsidR="00EC7A31" w:rsidRDefault="00EC7A31">
      <w:pPr>
        <w:rPr>
          <w:rFonts w:cstheme="minorHAnsi"/>
        </w:rPr>
      </w:pPr>
    </w:p>
    <w:p w14:paraId="410373BB" w14:textId="4600E187" w:rsidR="00954285" w:rsidRDefault="00954285" w:rsidP="004276AA">
      <w:pPr>
        <w:spacing w:line="360" w:lineRule="auto"/>
        <w:rPr>
          <w:rFonts w:cstheme="minorHAnsi"/>
        </w:rPr>
      </w:pPr>
      <w:r>
        <w:rPr>
          <w:rFonts w:cstheme="minorHAnsi"/>
        </w:rPr>
        <w:t xml:space="preserve">In der </w:t>
      </w:r>
      <w:r w:rsidR="0064591F">
        <w:rPr>
          <w:rFonts w:cstheme="minorHAnsi"/>
        </w:rPr>
        <w:t xml:space="preserve">Mobilisierungsforschung </w:t>
      </w:r>
      <w:r w:rsidR="00913D59">
        <w:rPr>
          <w:rFonts w:cstheme="minorHAnsi"/>
        </w:rPr>
        <w:t>spielen</w:t>
      </w:r>
      <w:r w:rsidR="0064591F">
        <w:rPr>
          <w:rFonts w:cstheme="minorHAnsi"/>
        </w:rPr>
        <w:t xml:space="preserve"> kommunikationstheoretische und kommunikationspraktische Grundlagen </w:t>
      </w:r>
      <w:r w:rsidR="00693AF6">
        <w:rPr>
          <w:rFonts w:cstheme="minorHAnsi"/>
        </w:rPr>
        <w:t>erst seit vergleichsweise kurzer Zeit</w:t>
      </w:r>
      <w:r w:rsidR="00913D59">
        <w:rPr>
          <w:rFonts w:cstheme="minorHAnsi"/>
        </w:rPr>
        <w:t xml:space="preserve"> eine</w:t>
      </w:r>
      <w:r w:rsidR="00693AF6">
        <w:rPr>
          <w:rFonts w:cstheme="minorHAnsi"/>
        </w:rPr>
        <w:t xml:space="preserve"> nennenswerte</w:t>
      </w:r>
      <w:r w:rsidR="00913D59">
        <w:rPr>
          <w:rFonts w:cstheme="minorHAnsi"/>
        </w:rPr>
        <w:t xml:space="preserve"> Rolle. Medientheorien</w:t>
      </w:r>
      <w:r w:rsidR="00693AF6">
        <w:rPr>
          <w:rFonts w:cstheme="minorHAnsi"/>
        </w:rPr>
        <w:t xml:space="preserve"> und Medienpraxis werden</w:t>
      </w:r>
      <w:r w:rsidR="00913D59">
        <w:rPr>
          <w:rFonts w:cstheme="minorHAnsi"/>
        </w:rPr>
        <w:t xml:space="preserve"> indirekt thematisiert etwa in der Diskussion um den </w:t>
      </w:r>
      <w:proofErr w:type="spellStart"/>
      <w:r w:rsidR="00913D59">
        <w:rPr>
          <w:rFonts w:cstheme="minorHAnsi"/>
        </w:rPr>
        <w:t>Netzaktivismus</w:t>
      </w:r>
      <w:proofErr w:type="spellEnd"/>
      <w:r w:rsidR="000B1491">
        <w:rPr>
          <w:rFonts w:cstheme="minorHAnsi"/>
        </w:rPr>
        <w:t xml:space="preserve">, </w:t>
      </w:r>
      <w:r w:rsidR="00C863A7">
        <w:rPr>
          <w:rFonts w:cstheme="minorHAnsi"/>
        </w:rPr>
        <w:t xml:space="preserve">wobei </w:t>
      </w:r>
      <w:r w:rsidR="00251CD0">
        <w:rPr>
          <w:rFonts w:cstheme="minorHAnsi"/>
        </w:rPr>
        <w:t xml:space="preserve">der Schwerpunkt in der Regel auf zivilgesellschaftlichem Engagement liegt. </w:t>
      </w:r>
      <w:proofErr w:type="spellStart"/>
      <w:r w:rsidR="000B1491">
        <w:rPr>
          <w:rFonts w:cstheme="minorHAnsi"/>
        </w:rPr>
        <w:t>Baringhorst</w:t>
      </w:r>
      <w:proofErr w:type="spellEnd"/>
      <w:r w:rsidR="000B1491">
        <w:rPr>
          <w:rFonts w:cstheme="minorHAnsi"/>
        </w:rPr>
        <w:t xml:space="preserve"> (2017) etwa fasst die Fortschritte dieser Forschung so zusammen, dass eine Beteiligung an politischem Protest abhänge von den notwendigen Ressourcen (1), von der Motivation (2) und der Mobilisierung (3). Und beispielsweise die Orientierungs- und Suchkosten, die zu den Ressourcen gehören und aufgewendet werden müssen, um eine Entscheidungsgrundlage zu erhalten, seien „durch die Digitalisierung deutlich gesunken“ (ebd.). Die Mobilisierung muss persönlich erfolgen, denn sonst ist sie selten erfolgreich. Und die Angesprochenen wollen wissen, wer sonst noch mitmacht; das nimmt wesentlich Einfluss auf die Motivation. Es kommen hier also auf allen drei Ebenen Effekte zum Tragen, die im Wesentlichen medial induziert sind durch die Evolution des Mediensystems und seine Vernetzungsmöglichkeiten.</w:t>
      </w:r>
    </w:p>
    <w:p w14:paraId="3C7BA6A0" w14:textId="77777777" w:rsidR="000B1491" w:rsidRDefault="000B1491" w:rsidP="004276AA">
      <w:pPr>
        <w:spacing w:line="360" w:lineRule="auto"/>
        <w:rPr>
          <w:rFonts w:cstheme="minorHAnsi"/>
        </w:rPr>
      </w:pPr>
    </w:p>
    <w:p w14:paraId="6EB40BDC" w14:textId="77777777" w:rsidR="000B1491" w:rsidRDefault="000B1491" w:rsidP="004276AA">
      <w:pPr>
        <w:spacing w:line="360" w:lineRule="auto"/>
        <w:rPr>
          <w:rFonts w:cstheme="minorHAnsi"/>
        </w:rPr>
      </w:pPr>
      <w:r>
        <w:rPr>
          <w:rFonts w:cstheme="minorHAnsi"/>
        </w:rPr>
        <w:t xml:space="preserve">Zugleich merken wir im Kontext dieser Forschungen aber auch, dass übergreifende </w:t>
      </w:r>
      <w:proofErr w:type="spellStart"/>
      <w:r>
        <w:rPr>
          <w:rFonts w:cstheme="minorHAnsi"/>
        </w:rPr>
        <w:t>Öffentlichkeiten</w:t>
      </w:r>
      <w:proofErr w:type="spellEnd"/>
      <w:r>
        <w:rPr>
          <w:rFonts w:cstheme="minorHAnsi"/>
        </w:rPr>
        <w:t xml:space="preserve"> immer schwerer herzustellen sind und</w:t>
      </w:r>
      <w:r w:rsidR="00F85166">
        <w:rPr>
          <w:rFonts w:cstheme="minorHAnsi"/>
        </w:rPr>
        <w:t xml:space="preserve"> wenn, dann nur als sehr temporäre und auch schwer vorhersehbar</w:t>
      </w:r>
      <w:r w:rsidR="007D2BE5">
        <w:rPr>
          <w:rFonts w:cstheme="minorHAnsi"/>
        </w:rPr>
        <w:t>e,</w:t>
      </w:r>
      <w:r w:rsidR="00E90B22">
        <w:rPr>
          <w:rFonts w:cstheme="minorHAnsi"/>
        </w:rPr>
        <w:t xml:space="preserve"> punktuell auftretende „</w:t>
      </w:r>
      <w:proofErr w:type="spellStart"/>
      <w:r w:rsidR="00E90B22">
        <w:rPr>
          <w:rFonts w:cstheme="minorHAnsi"/>
        </w:rPr>
        <w:t>Konnektive</w:t>
      </w:r>
      <w:proofErr w:type="spellEnd"/>
      <w:r w:rsidR="00E90B22">
        <w:rPr>
          <w:rFonts w:cstheme="minorHAnsi"/>
        </w:rPr>
        <w:t>“, die als „vernetzte Viele“ in Erregungszuständen (Pörksen 201</w:t>
      </w:r>
      <w:r w:rsidR="007D2BE5">
        <w:rPr>
          <w:rFonts w:cstheme="minorHAnsi"/>
        </w:rPr>
        <w:t>8</w:t>
      </w:r>
      <w:r w:rsidR="00E90B22">
        <w:rPr>
          <w:rFonts w:cstheme="minorHAnsi"/>
        </w:rPr>
        <w:t xml:space="preserve">) situative enorme Deutungshoheit besitzen. Dies stellt </w:t>
      </w:r>
      <w:r w:rsidR="007D2BE5">
        <w:rPr>
          <w:rFonts w:cstheme="minorHAnsi"/>
        </w:rPr>
        <w:t>die grundsätzliche Herstellbarkeit von Öffentlichkeit als übergreifende Sphäre infrage</w:t>
      </w:r>
      <w:r w:rsidR="002E6E95">
        <w:rPr>
          <w:rFonts w:cstheme="minorHAnsi"/>
        </w:rPr>
        <w:t>. Antworten der Forschung liefen in den zurückliegenden Jahren vor allem in Richtung unterschiedlicher Fragmentierungstheorien, die, so Klinger (2018</w:t>
      </w:r>
      <w:r w:rsidR="00E75E58">
        <w:rPr>
          <w:rFonts w:cstheme="minorHAnsi"/>
        </w:rPr>
        <w:t>a</w:t>
      </w:r>
      <w:r w:rsidR="002E6E95">
        <w:rPr>
          <w:rFonts w:cstheme="minorHAnsi"/>
        </w:rPr>
        <w:t xml:space="preserve">: 250), darauf aus waren, „Ordnung, Struktur in eine neue Unübersichtlichkeit der Onlinekommunikation“ zu bringen. Sie geben dabei zum einen das Öffentlichkeitskonzept preis, das immer erneut an die jeweilige </w:t>
      </w:r>
      <w:proofErr w:type="spellStart"/>
      <w:r w:rsidR="002E6E95">
        <w:rPr>
          <w:rFonts w:cstheme="minorHAnsi"/>
        </w:rPr>
        <w:t>Fragmentlandschaft</w:t>
      </w:r>
      <w:proofErr w:type="spellEnd"/>
      <w:r w:rsidR="002E6E95">
        <w:rPr>
          <w:rFonts w:cstheme="minorHAnsi"/>
        </w:rPr>
        <w:t xml:space="preserve"> angepasst werden muss, zum anderen behaupten sie die Homogenität des Öffentlichkeitskonzepts, die so nie bestanden habe, resümiert die Autorin. Da auch die umgekehrte Ausweitung des Öffentlichkeitsbegriffs auf die private Kommunikation </w:t>
      </w:r>
      <w:r w:rsidR="00E75E58">
        <w:rPr>
          <w:rFonts w:cstheme="minorHAnsi"/>
        </w:rPr>
        <w:t>für sie nicht trägt, weil er empirisch schwer haltbar ist und z.B. auch der normative Anspruch des Öffentlichkeitskonzepts verlorengeht, schlägt sie eine relationale Perspektive vor: die Semi-</w:t>
      </w:r>
      <w:proofErr w:type="spellStart"/>
      <w:r w:rsidR="00E75E58">
        <w:rPr>
          <w:rFonts w:cstheme="minorHAnsi"/>
        </w:rPr>
        <w:t>Öffentlichkeiten</w:t>
      </w:r>
      <w:proofErr w:type="spellEnd"/>
      <w:r w:rsidR="00E75E58">
        <w:rPr>
          <w:rFonts w:cstheme="minorHAnsi"/>
        </w:rPr>
        <w:t xml:space="preserve">. </w:t>
      </w:r>
    </w:p>
    <w:p w14:paraId="0C37D88F" w14:textId="77777777" w:rsidR="000B1491" w:rsidRDefault="000B1491" w:rsidP="00E75E58">
      <w:pPr>
        <w:spacing w:line="360" w:lineRule="auto"/>
        <w:rPr>
          <w:rFonts w:cstheme="minorHAnsi"/>
        </w:rPr>
      </w:pPr>
    </w:p>
    <w:p w14:paraId="557B8D23" w14:textId="77777777" w:rsidR="00C863A7" w:rsidRDefault="00E75E58" w:rsidP="00E75E58">
      <w:pPr>
        <w:spacing w:line="360" w:lineRule="auto"/>
        <w:rPr>
          <w:rFonts w:cstheme="minorHAnsi"/>
        </w:rPr>
      </w:pPr>
      <w:r>
        <w:rPr>
          <w:rFonts w:cstheme="minorHAnsi"/>
        </w:rPr>
        <w:t>Klinger (2018a, 2018b) versteht darunter Kommunikationsbeziehungen, an denen Fremde beteiligt sein können.</w:t>
      </w:r>
      <w:r w:rsidR="00912A36">
        <w:rPr>
          <w:rFonts w:cstheme="minorHAnsi"/>
        </w:rPr>
        <w:t xml:space="preserve"> Es handelt sich also um private Kommunikation, bei der die Grenze zur Öffentlichkeit durchbrochen werden kann. Man lässt sich bei dieser Kommunikation beobachten</w:t>
      </w:r>
      <w:r w:rsidR="00F663A8">
        <w:rPr>
          <w:rFonts w:cstheme="minorHAnsi"/>
        </w:rPr>
        <w:t>.</w:t>
      </w:r>
      <w:r w:rsidR="00912A36">
        <w:rPr>
          <w:rFonts w:cstheme="minorHAnsi"/>
        </w:rPr>
        <w:t xml:space="preserve"> </w:t>
      </w:r>
      <w:r w:rsidR="00F663A8">
        <w:rPr>
          <w:rFonts w:cstheme="minorHAnsi"/>
        </w:rPr>
        <w:t>Klinger</w:t>
      </w:r>
      <w:r>
        <w:rPr>
          <w:rFonts w:cstheme="minorHAnsi"/>
        </w:rPr>
        <w:t xml:space="preserve"> situiert diese Sphäre zwischen der Öffentlichkeit und der Sp</w:t>
      </w:r>
      <w:r w:rsidR="00517845">
        <w:rPr>
          <w:rFonts w:cstheme="minorHAnsi"/>
        </w:rPr>
        <w:t>häre des Privaten. So, wie bei der Privatheit Fremde ausgeschlossen sind, so haben sie bei der Semi-Öffentlichkeit prinzipiellen Zugang, auch wenn sie nicht unmittelbar interagieren. In einer Kultur des „Sich-Sichtbarmachens“</w:t>
      </w:r>
      <w:r w:rsidR="00912A36">
        <w:rPr>
          <w:rFonts w:cstheme="minorHAnsi"/>
        </w:rPr>
        <w:t xml:space="preserve"> (</w:t>
      </w:r>
      <w:proofErr w:type="spellStart"/>
      <w:r w:rsidR="00912A36">
        <w:rPr>
          <w:rFonts w:cstheme="minorHAnsi"/>
        </w:rPr>
        <w:t>Baringhorst</w:t>
      </w:r>
      <w:proofErr w:type="spellEnd"/>
      <w:r w:rsidR="00912A36">
        <w:rPr>
          <w:rFonts w:cstheme="minorHAnsi"/>
        </w:rPr>
        <w:t xml:space="preserve"> 2017)</w:t>
      </w:r>
      <w:r w:rsidR="00517845">
        <w:rPr>
          <w:rFonts w:cstheme="minorHAnsi"/>
        </w:rPr>
        <w:t xml:space="preserve"> werden persönliche Appelle zur Aktivierung genutzt, die bisherige Verbindlichkeit der Kommunikation wird durch diese persönlichen Bekenntnisse ersetzt (</w:t>
      </w:r>
      <w:proofErr w:type="spellStart"/>
      <w:r w:rsidR="00912A36">
        <w:rPr>
          <w:rFonts w:cstheme="minorHAnsi"/>
        </w:rPr>
        <w:t>ebd</w:t>
      </w:r>
      <w:proofErr w:type="spellEnd"/>
      <w:r w:rsidR="00517845">
        <w:rPr>
          <w:rFonts w:cstheme="minorHAnsi"/>
        </w:rPr>
        <w:t>).</w:t>
      </w:r>
      <w:r w:rsidR="00912A36">
        <w:rPr>
          <w:rFonts w:cstheme="minorHAnsi"/>
        </w:rPr>
        <w:t xml:space="preserve"> </w:t>
      </w:r>
      <w:r w:rsidR="00F663A8">
        <w:rPr>
          <w:rFonts w:cstheme="minorHAnsi"/>
        </w:rPr>
        <w:t xml:space="preserve">Öffentlichkeit wird dann gebildet aus Kommunikationsbeziehungen unter Fremden und solchen, an denen Fremde beteiligt sein können (Klinger 2018a: 259). </w:t>
      </w:r>
    </w:p>
    <w:p w14:paraId="7FE2517A" w14:textId="77777777" w:rsidR="00E75E58" w:rsidRDefault="00E75E58" w:rsidP="00E75E58">
      <w:pPr>
        <w:spacing w:line="360" w:lineRule="auto"/>
        <w:rPr>
          <w:rFonts w:cstheme="minorHAnsi"/>
        </w:rPr>
      </w:pPr>
    </w:p>
    <w:p w14:paraId="285CA664" w14:textId="1A5D9122" w:rsidR="00F663A8" w:rsidRDefault="00F663A8" w:rsidP="00E75E58">
      <w:pPr>
        <w:spacing w:line="360" w:lineRule="auto"/>
        <w:rPr>
          <w:rFonts w:cstheme="minorHAnsi"/>
        </w:rPr>
      </w:pPr>
      <w:r>
        <w:rPr>
          <w:rFonts w:cstheme="minorHAnsi"/>
        </w:rPr>
        <w:t xml:space="preserve">Schaut man aus der Perspektive der Transformation auf die Kampagnenforschung fällt schnell auf, dass </w:t>
      </w:r>
      <w:r w:rsidR="004661A7">
        <w:rPr>
          <w:rFonts w:cstheme="minorHAnsi"/>
        </w:rPr>
        <w:t xml:space="preserve">hier sogar ein wesentlich geringeres Reflexionsniveau </w:t>
      </w:r>
      <w:r w:rsidR="000C0C6E">
        <w:rPr>
          <w:rFonts w:cstheme="minorHAnsi"/>
        </w:rPr>
        <w:t>vorliegt. Die klassische Kampagnenforschung setzt auf unidirektionale, geschlossene Settings in überschaubaren Zeiträumen, die nach dem Muster eines herkömmlichen Managementprozesses (</w:t>
      </w:r>
      <w:proofErr w:type="spellStart"/>
      <w:r w:rsidR="000C0C6E">
        <w:rPr>
          <w:rFonts w:cstheme="minorHAnsi"/>
        </w:rPr>
        <w:t>Bonfadelli</w:t>
      </w:r>
      <w:proofErr w:type="spellEnd"/>
      <w:r w:rsidR="000C0C6E">
        <w:rPr>
          <w:rFonts w:cstheme="minorHAnsi"/>
        </w:rPr>
        <w:t xml:space="preserve"> &amp; </w:t>
      </w:r>
      <w:proofErr w:type="spellStart"/>
      <w:r w:rsidR="000C0C6E">
        <w:rPr>
          <w:rFonts w:cstheme="minorHAnsi"/>
        </w:rPr>
        <w:t>Friemel</w:t>
      </w:r>
      <w:proofErr w:type="spellEnd"/>
      <w:r w:rsidR="000C0C6E">
        <w:rPr>
          <w:rFonts w:cstheme="minorHAnsi"/>
        </w:rPr>
        <w:t xml:space="preserve"> 2006) geplant werden. Statt Agilität und kurzfristiger Reaktionszyklen, in denen der Gesprächscharakter digitaler Kommunikation reflektiert w</w:t>
      </w:r>
      <w:r w:rsidR="007E2906">
        <w:rPr>
          <w:rFonts w:cstheme="minorHAnsi"/>
        </w:rPr>
        <w:t>ü</w:t>
      </w:r>
      <w:r w:rsidR="000C0C6E">
        <w:rPr>
          <w:rFonts w:cstheme="minorHAnsi"/>
        </w:rPr>
        <w:t>r</w:t>
      </w:r>
      <w:r w:rsidR="007E2906">
        <w:rPr>
          <w:rFonts w:cstheme="minorHAnsi"/>
        </w:rPr>
        <w:t>d</w:t>
      </w:r>
      <w:r w:rsidR="000C0C6E">
        <w:rPr>
          <w:rFonts w:cstheme="minorHAnsi"/>
        </w:rPr>
        <w:t xml:space="preserve">e, dominiert </w:t>
      </w:r>
      <w:r w:rsidR="00A75F18">
        <w:rPr>
          <w:rFonts w:cstheme="minorHAnsi"/>
        </w:rPr>
        <w:t xml:space="preserve">– zumindest in der Literatur - </w:t>
      </w:r>
      <w:r w:rsidR="000C0C6E">
        <w:rPr>
          <w:rFonts w:cstheme="minorHAnsi"/>
        </w:rPr>
        <w:t>noch immer die durchkomponierte Kampagnenlogik nach dem Muster kontrollierbarer integrierter Kommunikation</w:t>
      </w:r>
      <w:r w:rsidR="007E2906">
        <w:rPr>
          <w:rFonts w:cstheme="minorHAnsi"/>
        </w:rPr>
        <w:t xml:space="preserve">. Zwar werden Kampagnen mal als „vernetzte Kampagnen“ diskutiert (womit Autoren wie </w:t>
      </w:r>
      <w:proofErr w:type="spellStart"/>
      <w:r w:rsidR="007E2906">
        <w:rPr>
          <w:rFonts w:cstheme="minorHAnsi"/>
        </w:rPr>
        <w:t>Haßler</w:t>
      </w:r>
      <w:proofErr w:type="spellEnd"/>
      <w:r w:rsidR="007E2906">
        <w:rPr>
          <w:rFonts w:cstheme="minorHAnsi"/>
        </w:rPr>
        <w:t xml:space="preserve"> &amp; </w:t>
      </w:r>
      <w:proofErr w:type="spellStart"/>
      <w:r w:rsidR="007E2906">
        <w:rPr>
          <w:rFonts w:cstheme="minorHAnsi"/>
        </w:rPr>
        <w:t>Kruschinski</w:t>
      </w:r>
      <w:proofErr w:type="spellEnd"/>
      <w:r w:rsidR="007E2906">
        <w:rPr>
          <w:rFonts w:cstheme="minorHAnsi"/>
        </w:rPr>
        <w:t xml:space="preserve"> 2019 vor allem Kombinationen aus Digitalkampagne und klassischen Offlineelementen wie etwa den Haustürwahlkampf meinen), mal werden sie als „Hybridkampagnen“ bezeichnet (</w:t>
      </w:r>
      <w:proofErr w:type="spellStart"/>
      <w:r w:rsidR="007E2906">
        <w:rPr>
          <w:rFonts w:cstheme="minorHAnsi"/>
        </w:rPr>
        <w:t>Baringhorst</w:t>
      </w:r>
      <w:proofErr w:type="spellEnd"/>
      <w:r w:rsidR="007E2906">
        <w:rPr>
          <w:rFonts w:cstheme="minorHAnsi"/>
        </w:rPr>
        <w:t xml:space="preserve"> et al. 2017), was auf die mögliche Verbindung von pseudo-aktivistischem „</w:t>
      </w:r>
      <w:proofErr w:type="spellStart"/>
      <w:r w:rsidR="007E2906">
        <w:rPr>
          <w:rFonts w:cstheme="minorHAnsi"/>
        </w:rPr>
        <w:t>Klicktivismus</w:t>
      </w:r>
      <w:proofErr w:type="spellEnd"/>
      <w:r w:rsidR="007E2906">
        <w:rPr>
          <w:rFonts w:cstheme="minorHAnsi"/>
        </w:rPr>
        <w:t>“ und tatsächlicher Mobilisierung verweist</w:t>
      </w:r>
      <w:r w:rsidR="00275213">
        <w:rPr>
          <w:rFonts w:cstheme="minorHAnsi"/>
        </w:rPr>
        <w:t xml:space="preserve"> bzw. darauf, dass Protest</w:t>
      </w:r>
      <w:r w:rsidR="00790EDA">
        <w:rPr>
          <w:rFonts w:cstheme="minorHAnsi"/>
        </w:rPr>
        <w:t xml:space="preserve">organisation </w:t>
      </w:r>
      <w:r w:rsidR="00275213">
        <w:rPr>
          <w:rFonts w:cstheme="minorHAnsi"/>
        </w:rPr>
        <w:t>in einem hybriden Mediensystem (Chadwick 2007, 201</w:t>
      </w:r>
      <w:r w:rsidR="00223555">
        <w:rPr>
          <w:rFonts w:cstheme="minorHAnsi"/>
        </w:rPr>
        <w:t>3</w:t>
      </w:r>
      <w:r w:rsidR="00275213">
        <w:rPr>
          <w:rFonts w:cstheme="minorHAnsi"/>
        </w:rPr>
        <w:t xml:space="preserve">) angewiesen ist </w:t>
      </w:r>
      <w:r w:rsidR="00790EDA">
        <w:rPr>
          <w:rFonts w:cstheme="minorHAnsi"/>
        </w:rPr>
        <w:t>auf Online-Vernetzung</w:t>
      </w:r>
      <w:r w:rsidR="007E2906">
        <w:rPr>
          <w:rFonts w:cstheme="minorHAnsi"/>
        </w:rPr>
        <w:t xml:space="preserve">. </w:t>
      </w:r>
      <w:r w:rsidR="00790EDA">
        <w:rPr>
          <w:rFonts w:cstheme="minorHAnsi"/>
        </w:rPr>
        <w:t xml:space="preserve">Das führt zu themenunabhängigen </w:t>
      </w:r>
      <w:proofErr w:type="spellStart"/>
      <w:r w:rsidR="00790EDA">
        <w:rPr>
          <w:rFonts w:cstheme="minorHAnsi"/>
        </w:rPr>
        <w:t>Issue</w:t>
      </w:r>
      <w:proofErr w:type="spellEnd"/>
      <w:r w:rsidR="00790EDA">
        <w:rPr>
          <w:rFonts w:cstheme="minorHAnsi"/>
        </w:rPr>
        <w:t xml:space="preserve">-Lieferanten wie Change.org und anderen </w:t>
      </w:r>
      <w:proofErr w:type="spellStart"/>
      <w:r w:rsidR="00790EDA">
        <w:rPr>
          <w:rFonts w:cstheme="minorHAnsi"/>
        </w:rPr>
        <w:t>Aggregatoren</w:t>
      </w:r>
      <w:proofErr w:type="spellEnd"/>
      <w:r w:rsidR="00790EDA">
        <w:rPr>
          <w:rFonts w:cstheme="minorHAnsi"/>
        </w:rPr>
        <w:t xml:space="preserve">. </w:t>
      </w:r>
      <w:r w:rsidR="007E2906">
        <w:rPr>
          <w:rFonts w:cstheme="minorHAnsi"/>
        </w:rPr>
        <w:t>Doch die eigentliche Kampagnen</w:t>
      </w:r>
      <w:r w:rsidR="00275213">
        <w:rPr>
          <w:rFonts w:cstheme="minorHAnsi"/>
        </w:rPr>
        <w:t>logik wird hier bislang nicht in den Blick genommen.</w:t>
      </w:r>
    </w:p>
    <w:p w14:paraId="0568018E" w14:textId="77777777" w:rsidR="00790EDA" w:rsidRDefault="00790EDA" w:rsidP="00E75E58">
      <w:pPr>
        <w:spacing w:line="360" w:lineRule="auto"/>
        <w:rPr>
          <w:rFonts w:cstheme="minorHAnsi"/>
        </w:rPr>
      </w:pPr>
    </w:p>
    <w:p w14:paraId="0210530C" w14:textId="5A74C5C1" w:rsidR="00790EDA" w:rsidRDefault="00790EDA" w:rsidP="00E75E58">
      <w:pPr>
        <w:spacing w:line="360" w:lineRule="auto"/>
        <w:rPr>
          <w:rFonts w:cstheme="minorHAnsi"/>
        </w:rPr>
      </w:pPr>
      <w:r>
        <w:rPr>
          <w:rFonts w:cstheme="minorHAnsi"/>
        </w:rPr>
        <w:lastRenderedPageBreak/>
        <w:t>Wir schlagen in unserem konzeptionellen Beitrag daher ein neues Modell der Kampagnenselbstbeschreibung vor</w:t>
      </w:r>
      <w:r w:rsidR="00A75F18">
        <w:rPr>
          <w:rFonts w:cstheme="minorHAnsi"/>
        </w:rPr>
        <w:t xml:space="preserve">: </w:t>
      </w:r>
      <w:r w:rsidR="00E63BDB">
        <w:rPr>
          <w:rFonts w:cstheme="minorHAnsi"/>
        </w:rPr>
        <w:t>Networked Campaigning</w:t>
      </w:r>
      <w:r>
        <w:rPr>
          <w:rFonts w:cstheme="minorHAnsi"/>
        </w:rPr>
        <w:t xml:space="preserve"> als </w:t>
      </w:r>
      <w:proofErr w:type="spellStart"/>
      <w:r w:rsidR="002A7410">
        <w:rPr>
          <w:rFonts w:cstheme="minorHAnsi"/>
        </w:rPr>
        <w:t>trans</w:t>
      </w:r>
      <w:r w:rsidR="00223555">
        <w:rPr>
          <w:rFonts w:cstheme="minorHAnsi"/>
        </w:rPr>
        <w:t>f</w:t>
      </w:r>
      <w:r w:rsidR="002A7410">
        <w:rPr>
          <w:rFonts w:cstheme="minorHAnsi"/>
        </w:rPr>
        <w:t>ormationaler</w:t>
      </w:r>
      <w:proofErr w:type="spellEnd"/>
      <w:r w:rsidR="002A7410">
        <w:rPr>
          <w:rFonts w:cstheme="minorHAnsi"/>
        </w:rPr>
        <w:t xml:space="preserve"> </w:t>
      </w:r>
      <w:r>
        <w:rPr>
          <w:rFonts w:cstheme="minorHAnsi"/>
        </w:rPr>
        <w:t>Kommunikationsmodus</w:t>
      </w:r>
      <w:r w:rsidR="002A7410">
        <w:rPr>
          <w:rFonts w:cstheme="minorHAnsi"/>
        </w:rPr>
        <w:t>, der Stakeholder direkt in die Kampagne integriert und zu Beteiligten macht.</w:t>
      </w:r>
      <w:r w:rsidR="00A42F58">
        <w:rPr>
          <w:rFonts w:cstheme="minorHAnsi"/>
        </w:rPr>
        <w:t xml:space="preserve"> Dazu formulieren wir folgende</w:t>
      </w:r>
      <w:r w:rsidR="00A94375">
        <w:rPr>
          <w:rFonts w:cstheme="minorHAnsi"/>
        </w:rPr>
        <w:t xml:space="preserve"> T</w:t>
      </w:r>
      <w:r w:rsidR="00A42F58">
        <w:rPr>
          <w:rFonts w:cstheme="minorHAnsi"/>
        </w:rPr>
        <w:t>hesen, die wir im Rahmen des Vortrags herleiten und begründen werden:</w:t>
      </w:r>
    </w:p>
    <w:p w14:paraId="474E9826" w14:textId="77777777" w:rsidR="00790EDA" w:rsidRDefault="00790EDA" w:rsidP="00E75E58">
      <w:pPr>
        <w:spacing w:line="360" w:lineRule="auto"/>
        <w:rPr>
          <w:rFonts w:cstheme="minorHAnsi"/>
        </w:rPr>
      </w:pPr>
    </w:p>
    <w:p w14:paraId="2D2FCAC4" w14:textId="3663FDEB" w:rsidR="00790EDA" w:rsidRDefault="00A42F58" w:rsidP="00790EDA">
      <w:pPr>
        <w:pStyle w:val="Listenabsatz"/>
        <w:numPr>
          <w:ilvl w:val="0"/>
          <w:numId w:val="1"/>
        </w:numPr>
        <w:spacing w:line="360" w:lineRule="auto"/>
        <w:rPr>
          <w:rFonts w:cstheme="minorHAnsi"/>
        </w:rPr>
      </w:pPr>
      <w:r>
        <w:rPr>
          <w:rFonts w:cstheme="minorHAnsi"/>
        </w:rPr>
        <w:t>Kampagnen stellen keine abgeschlossenen Managementzyklus mehr dar, sondern ein offenes System von Aussagen und Maßnahmen, das mitgestaltet und verändert werden kann. Kernwerte und Leitaussagen können aufgegriffen, umgearbeitet und individualisiert werden. Die Kampagne wird live und transparent entwickelt.</w:t>
      </w:r>
    </w:p>
    <w:p w14:paraId="1D828D55" w14:textId="77777777" w:rsidR="00A42F58" w:rsidRDefault="00A42F58" w:rsidP="00790EDA">
      <w:pPr>
        <w:pStyle w:val="Listenabsatz"/>
        <w:numPr>
          <w:ilvl w:val="0"/>
          <w:numId w:val="1"/>
        </w:numPr>
        <w:spacing w:line="360" w:lineRule="auto"/>
        <w:rPr>
          <w:rFonts w:cstheme="minorHAnsi"/>
        </w:rPr>
      </w:pPr>
      <w:r>
        <w:rPr>
          <w:rFonts w:cstheme="minorHAnsi"/>
        </w:rPr>
        <w:t xml:space="preserve">Kampagnen sind nicht mehr an einzelne Organisationen gebunden, sondern </w:t>
      </w:r>
      <w:r w:rsidR="00A75F18">
        <w:rPr>
          <w:rFonts w:cstheme="minorHAnsi"/>
        </w:rPr>
        <w:t xml:space="preserve">sie integrieren Stakeholder und sie </w:t>
      </w:r>
      <w:r>
        <w:rPr>
          <w:rFonts w:cstheme="minorHAnsi"/>
        </w:rPr>
        <w:t>fungieren organisationsübe</w:t>
      </w:r>
      <w:r w:rsidR="00A75F18">
        <w:rPr>
          <w:rFonts w:cstheme="minorHAnsi"/>
        </w:rPr>
        <w:t>r</w:t>
      </w:r>
      <w:r>
        <w:rPr>
          <w:rFonts w:cstheme="minorHAnsi"/>
        </w:rPr>
        <w:t xml:space="preserve">greifend und integrierend. Sie ermöglichen kurzfristige Allianzen </w:t>
      </w:r>
      <w:r w:rsidR="00A75F18">
        <w:rPr>
          <w:rFonts w:cstheme="minorHAnsi"/>
        </w:rPr>
        <w:t xml:space="preserve">von Organisationen </w:t>
      </w:r>
      <w:r>
        <w:rPr>
          <w:rFonts w:cstheme="minorHAnsi"/>
        </w:rPr>
        <w:t xml:space="preserve">und Zustimmung ebenso wie langfristiges Engagement. </w:t>
      </w:r>
    </w:p>
    <w:p w14:paraId="3474BE56" w14:textId="77777777" w:rsidR="00A42F58" w:rsidRDefault="00A42F58" w:rsidP="00790EDA">
      <w:pPr>
        <w:pStyle w:val="Listenabsatz"/>
        <w:numPr>
          <w:ilvl w:val="0"/>
          <w:numId w:val="1"/>
        </w:numPr>
        <w:spacing w:line="360" w:lineRule="auto"/>
        <w:rPr>
          <w:rFonts w:cstheme="minorHAnsi"/>
        </w:rPr>
      </w:pPr>
      <w:r>
        <w:rPr>
          <w:rFonts w:cstheme="minorHAnsi"/>
        </w:rPr>
        <w:t>Kampagnen sind eine Ausdrucksform des gesellschaftlichen Gesprächs</w:t>
      </w:r>
      <w:r w:rsidR="00A94375">
        <w:rPr>
          <w:rFonts w:cstheme="minorHAnsi"/>
        </w:rPr>
        <w:t xml:space="preserve"> und der individuellen Engagementpraxis, die selbstwirksame emotionale Bestätigung des Einzelnen mit übergeordneten normativen Orientierungen verbindet.</w:t>
      </w:r>
    </w:p>
    <w:p w14:paraId="7DB6B584" w14:textId="77777777" w:rsidR="00A94375" w:rsidRDefault="00A94375" w:rsidP="00A94375">
      <w:pPr>
        <w:spacing w:line="360" w:lineRule="auto"/>
        <w:rPr>
          <w:rFonts w:cstheme="minorHAnsi"/>
        </w:rPr>
      </w:pPr>
    </w:p>
    <w:p w14:paraId="655E85B5" w14:textId="05540380" w:rsidR="00A94375" w:rsidRPr="00A94375" w:rsidRDefault="00A94375" w:rsidP="00A94375">
      <w:pPr>
        <w:spacing w:line="360" w:lineRule="auto"/>
        <w:rPr>
          <w:rFonts w:cstheme="minorHAnsi"/>
        </w:rPr>
      </w:pPr>
      <w:r>
        <w:rPr>
          <w:rFonts w:cstheme="minorHAnsi"/>
        </w:rPr>
        <w:t xml:space="preserve">Im Rahmen des Vortrags stellen </w:t>
      </w:r>
      <w:r w:rsidR="002A7410">
        <w:rPr>
          <w:rFonts w:cstheme="minorHAnsi"/>
        </w:rPr>
        <w:t xml:space="preserve">wir </w:t>
      </w:r>
      <w:r>
        <w:rPr>
          <w:rFonts w:cstheme="minorHAnsi"/>
        </w:rPr>
        <w:t xml:space="preserve">unser Modell eines Networked Campaigning in den Kontext einer kritischen kommunikationswissenschaftlichen Forschung, die „Veränderungen der öffentlichen Kommunikation und in der öffentlichen Kommunikation“ (Altmeppen et al. 2019) </w:t>
      </w:r>
      <w:r w:rsidR="00993618">
        <w:rPr>
          <w:rFonts w:cstheme="minorHAnsi"/>
        </w:rPr>
        <w:t>an Kriterien de</w:t>
      </w:r>
      <w:r w:rsidR="002A7410">
        <w:rPr>
          <w:rFonts w:cstheme="minorHAnsi"/>
        </w:rPr>
        <w:t>r</w:t>
      </w:r>
      <w:r w:rsidR="00993618">
        <w:rPr>
          <w:rFonts w:cstheme="minorHAnsi"/>
        </w:rPr>
        <w:t xml:space="preserve"> Gemeinwohlorientierung </w:t>
      </w:r>
      <w:r w:rsidR="002A7410">
        <w:rPr>
          <w:rFonts w:cstheme="minorHAnsi"/>
        </w:rPr>
        <w:t>ausrichtet</w:t>
      </w:r>
      <w:r w:rsidR="00993618">
        <w:rPr>
          <w:rFonts w:cstheme="minorHAnsi"/>
        </w:rPr>
        <w:t>.</w:t>
      </w:r>
    </w:p>
    <w:p w14:paraId="763C5B39" w14:textId="77777777" w:rsidR="00E75E58" w:rsidRDefault="00E75E58">
      <w:pPr>
        <w:rPr>
          <w:rFonts w:cstheme="minorHAnsi"/>
        </w:rPr>
      </w:pPr>
      <w:r>
        <w:rPr>
          <w:rFonts w:cstheme="minorHAnsi"/>
        </w:rPr>
        <w:br w:type="page"/>
      </w:r>
    </w:p>
    <w:p w14:paraId="04849E2F" w14:textId="77777777" w:rsidR="00C863A7" w:rsidRPr="00F03174" w:rsidRDefault="00C863A7" w:rsidP="004276AA">
      <w:pPr>
        <w:spacing w:line="360" w:lineRule="auto"/>
        <w:rPr>
          <w:rFonts w:cstheme="minorHAnsi"/>
        </w:rPr>
      </w:pPr>
      <w:r w:rsidRPr="00F03174">
        <w:rPr>
          <w:rFonts w:cstheme="minorHAnsi"/>
        </w:rPr>
        <w:lastRenderedPageBreak/>
        <w:t>Literatur</w:t>
      </w:r>
    </w:p>
    <w:p w14:paraId="1404BB56" w14:textId="77777777" w:rsidR="00E63BDB" w:rsidRDefault="00E63BDB" w:rsidP="00E63BDB">
      <w:pPr>
        <w:rPr>
          <w:rFonts w:eastAsia="Times New Roman" w:cstheme="minorHAnsi"/>
          <w:lang w:eastAsia="de-DE"/>
        </w:rPr>
      </w:pPr>
      <w:r>
        <w:rPr>
          <w:rFonts w:eastAsia="Times New Roman" w:cstheme="minorHAnsi"/>
          <w:lang w:eastAsia="de-DE"/>
        </w:rPr>
        <w:t>Altmeppen, Klaus-Dieter et al. (2019). Öffentlichkeit, Verantwortung und Gemeinwohl im Digitalen Zeitalter. Publizistik 64: 59-72.</w:t>
      </w:r>
    </w:p>
    <w:p w14:paraId="1493845F" w14:textId="77777777" w:rsidR="00E63BDB" w:rsidRDefault="00E63BDB" w:rsidP="00E63BDB">
      <w:pPr>
        <w:rPr>
          <w:rFonts w:eastAsia="Times New Roman" w:cstheme="minorHAnsi"/>
          <w:lang w:eastAsia="de-DE"/>
        </w:rPr>
      </w:pPr>
    </w:p>
    <w:p w14:paraId="7A49F7D7" w14:textId="77777777" w:rsidR="00E63BDB" w:rsidRPr="00E63BDB" w:rsidRDefault="00E63BDB" w:rsidP="00E63BDB">
      <w:pPr>
        <w:rPr>
          <w:rFonts w:eastAsia="Times New Roman" w:cstheme="minorHAnsi"/>
          <w:lang w:eastAsia="de-DE"/>
        </w:rPr>
      </w:pPr>
      <w:proofErr w:type="spellStart"/>
      <w:r w:rsidRPr="00C863A7">
        <w:rPr>
          <w:rFonts w:eastAsia="Times New Roman" w:cstheme="minorHAnsi"/>
          <w:lang w:eastAsia="de-DE"/>
        </w:rPr>
        <w:t>Baringhorst</w:t>
      </w:r>
      <w:proofErr w:type="spellEnd"/>
      <w:r w:rsidRPr="00C863A7">
        <w:rPr>
          <w:rFonts w:eastAsia="Times New Roman" w:cstheme="minorHAnsi"/>
          <w:lang w:eastAsia="de-DE"/>
        </w:rPr>
        <w:t xml:space="preserve">, Sigrid </w:t>
      </w:r>
      <w:r w:rsidRPr="00F03174">
        <w:rPr>
          <w:rFonts w:eastAsia="Times New Roman" w:cstheme="minorHAnsi"/>
          <w:lang w:eastAsia="de-DE"/>
        </w:rPr>
        <w:t>(</w:t>
      </w:r>
      <w:r w:rsidRPr="00C863A7">
        <w:rPr>
          <w:rFonts w:eastAsia="Times New Roman" w:cstheme="minorHAnsi"/>
          <w:lang w:eastAsia="de-DE"/>
        </w:rPr>
        <w:t>2017</w:t>
      </w:r>
      <w:r w:rsidRPr="00F03174">
        <w:rPr>
          <w:rFonts w:eastAsia="Times New Roman" w:cstheme="minorHAnsi"/>
          <w:lang w:eastAsia="de-DE"/>
        </w:rPr>
        <w:t>)</w:t>
      </w:r>
      <w:r w:rsidRPr="00C863A7">
        <w:rPr>
          <w:rFonts w:eastAsia="Times New Roman" w:cstheme="minorHAnsi"/>
          <w:lang w:eastAsia="de-DE"/>
        </w:rPr>
        <w:t>. Zivilgesellschaftliches Engagement im Netz – neue Formen der Personalisierung und Mobilisierung. Online unter: https://www.bpb.de/lernen/digitale-bildung/werkstatt/260084/zivilgesellschaftliches-engagement-im-netz-neue-formen-der-personalisierung-und-mobilisierung</w:t>
      </w:r>
      <w:r w:rsidRPr="00E63BDB">
        <w:rPr>
          <w:rFonts w:eastAsia="Times New Roman" w:cstheme="minorHAnsi"/>
          <w:lang w:eastAsia="de-DE"/>
        </w:rPr>
        <w:t>. Digitale Bildung in der Praxis. werkstatt.bpb.de.</w:t>
      </w:r>
    </w:p>
    <w:p w14:paraId="02B5F051" w14:textId="77777777" w:rsidR="00E63BDB" w:rsidRPr="00E63BDB" w:rsidRDefault="00E63BDB" w:rsidP="00E63BDB">
      <w:pPr>
        <w:rPr>
          <w:rFonts w:eastAsia="Times New Roman" w:cstheme="minorHAnsi"/>
          <w:lang w:eastAsia="de-DE"/>
        </w:rPr>
      </w:pPr>
    </w:p>
    <w:p w14:paraId="18D0F49F" w14:textId="77777777" w:rsidR="00E63BDB" w:rsidRPr="00AE2ADC" w:rsidRDefault="00E63BDB" w:rsidP="00E63BDB">
      <w:pPr>
        <w:rPr>
          <w:rFonts w:eastAsia="Times New Roman" w:cstheme="minorHAnsi"/>
          <w:lang w:eastAsia="de-DE"/>
        </w:rPr>
      </w:pPr>
      <w:proofErr w:type="spellStart"/>
      <w:r w:rsidRPr="00AE2ADC">
        <w:rPr>
          <w:rFonts w:eastAsia="Times New Roman" w:cstheme="minorHAnsi"/>
          <w:lang w:eastAsia="de-DE"/>
        </w:rPr>
        <w:t>Baringhorst</w:t>
      </w:r>
      <w:proofErr w:type="spellEnd"/>
      <w:r w:rsidRPr="00AE2ADC">
        <w:rPr>
          <w:rFonts w:eastAsia="Times New Roman" w:cstheme="minorHAnsi"/>
          <w:lang w:eastAsia="de-DE"/>
        </w:rPr>
        <w:t xml:space="preserve">, Sigrid, </w:t>
      </w:r>
      <w:proofErr w:type="spellStart"/>
      <w:r w:rsidRPr="00AE2ADC">
        <w:rPr>
          <w:rFonts w:eastAsia="Times New Roman" w:cstheme="minorHAnsi"/>
          <w:lang w:eastAsia="de-DE"/>
        </w:rPr>
        <w:t>Mundo</w:t>
      </w:r>
      <w:proofErr w:type="spellEnd"/>
      <w:r w:rsidRPr="00AE2ADC">
        <w:rPr>
          <w:rFonts w:eastAsia="Times New Roman" w:cstheme="minorHAnsi"/>
          <w:lang w:eastAsia="de-DE"/>
        </w:rPr>
        <w:t xml:space="preserve"> Yang, Kathrin Voss </w:t>
      </w:r>
      <w:r>
        <w:rPr>
          <w:rFonts w:eastAsia="Times New Roman" w:cstheme="minorHAnsi"/>
          <w:lang w:eastAsia="de-DE"/>
        </w:rPr>
        <w:t>&amp;</w:t>
      </w:r>
      <w:r w:rsidRPr="00AE2ADC">
        <w:rPr>
          <w:rFonts w:eastAsia="Times New Roman" w:cstheme="minorHAnsi"/>
          <w:lang w:eastAsia="de-DE"/>
        </w:rPr>
        <w:t xml:space="preserve"> Lisa </w:t>
      </w:r>
      <w:proofErr w:type="spellStart"/>
      <w:r w:rsidRPr="00AE2ADC">
        <w:rPr>
          <w:rFonts w:eastAsia="Times New Roman" w:cstheme="minorHAnsi"/>
          <w:lang w:eastAsia="de-DE"/>
        </w:rPr>
        <w:t>Villioth</w:t>
      </w:r>
      <w:proofErr w:type="spellEnd"/>
      <w:r w:rsidRPr="00AE2ADC">
        <w:rPr>
          <w:rFonts w:eastAsia="Times New Roman" w:cstheme="minorHAnsi"/>
          <w:lang w:eastAsia="de-DE"/>
        </w:rPr>
        <w:t xml:space="preserve"> </w:t>
      </w:r>
      <w:r>
        <w:rPr>
          <w:rFonts w:eastAsia="Times New Roman" w:cstheme="minorHAnsi"/>
          <w:lang w:eastAsia="de-DE"/>
        </w:rPr>
        <w:t>(</w:t>
      </w:r>
      <w:r w:rsidRPr="00AE2ADC">
        <w:rPr>
          <w:rFonts w:eastAsia="Times New Roman" w:cstheme="minorHAnsi"/>
          <w:lang w:eastAsia="de-DE"/>
        </w:rPr>
        <w:t>2017</w:t>
      </w:r>
      <w:r>
        <w:rPr>
          <w:rFonts w:eastAsia="Times New Roman" w:cstheme="minorHAnsi"/>
          <w:lang w:eastAsia="de-DE"/>
        </w:rPr>
        <w:t>)</w:t>
      </w:r>
      <w:r w:rsidRPr="00AE2ADC">
        <w:rPr>
          <w:rFonts w:eastAsia="Times New Roman" w:cstheme="minorHAnsi"/>
          <w:lang w:eastAsia="de-DE"/>
        </w:rPr>
        <w:t>. Webzentrierte Hybridkampagnen – Ausdruck postdemokratischer Protestpartizipation? Leviathan 45, 33: 171–198.</w:t>
      </w:r>
    </w:p>
    <w:p w14:paraId="23453D26" w14:textId="77777777" w:rsidR="00E63BDB" w:rsidRDefault="00E63BDB" w:rsidP="00E63BDB">
      <w:pPr>
        <w:rPr>
          <w:rFonts w:eastAsia="Times New Roman" w:cstheme="minorHAnsi"/>
          <w:lang w:eastAsia="de-DE"/>
        </w:rPr>
      </w:pPr>
    </w:p>
    <w:p w14:paraId="3247ACED" w14:textId="29508A36" w:rsidR="00E63BDB" w:rsidRDefault="00E63BDB" w:rsidP="00E63BDB">
      <w:pPr>
        <w:rPr>
          <w:rFonts w:eastAsia="Times New Roman" w:cstheme="minorHAnsi"/>
          <w:lang w:eastAsia="de-DE"/>
        </w:rPr>
      </w:pPr>
      <w:proofErr w:type="spellStart"/>
      <w:r>
        <w:rPr>
          <w:rFonts w:eastAsia="Times New Roman" w:cstheme="minorHAnsi"/>
          <w:lang w:eastAsia="de-DE"/>
        </w:rPr>
        <w:t>Bonfadelli</w:t>
      </w:r>
      <w:proofErr w:type="spellEnd"/>
      <w:r>
        <w:rPr>
          <w:rFonts w:eastAsia="Times New Roman" w:cstheme="minorHAnsi"/>
          <w:lang w:eastAsia="de-DE"/>
        </w:rPr>
        <w:t xml:space="preserve">, Heinz &amp; Thomas </w:t>
      </w:r>
      <w:proofErr w:type="spellStart"/>
      <w:r>
        <w:rPr>
          <w:rFonts w:eastAsia="Times New Roman" w:cstheme="minorHAnsi"/>
          <w:lang w:eastAsia="de-DE"/>
        </w:rPr>
        <w:t>Friemel</w:t>
      </w:r>
      <w:proofErr w:type="spellEnd"/>
      <w:r>
        <w:rPr>
          <w:rFonts w:eastAsia="Times New Roman" w:cstheme="minorHAnsi"/>
          <w:lang w:eastAsia="de-DE"/>
        </w:rPr>
        <w:t xml:space="preserve"> (2010). Kommunikationskampagnen im Gesundheitsbereich: Grundlagen und Anwendung, 2. Aufl., Konstanz.</w:t>
      </w:r>
    </w:p>
    <w:p w14:paraId="02C1DCF0" w14:textId="77777777" w:rsidR="00E63BDB" w:rsidRDefault="00E63BDB" w:rsidP="00E63BDB">
      <w:pPr>
        <w:rPr>
          <w:rFonts w:eastAsia="Times New Roman" w:cstheme="minorHAnsi"/>
          <w:lang w:eastAsia="de-DE"/>
        </w:rPr>
      </w:pPr>
    </w:p>
    <w:p w14:paraId="624598AF" w14:textId="77777777" w:rsidR="00E63BDB" w:rsidRPr="007E35CD" w:rsidRDefault="00E63BDB" w:rsidP="00E63BDB">
      <w:pPr>
        <w:autoSpaceDE w:val="0"/>
        <w:autoSpaceDN w:val="0"/>
        <w:adjustRightInd w:val="0"/>
        <w:rPr>
          <w:rFonts w:cstheme="minorHAnsi"/>
        </w:rPr>
      </w:pPr>
      <w:r w:rsidRPr="007E35CD">
        <w:rPr>
          <w:rFonts w:cstheme="minorHAnsi"/>
        </w:rPr>
        <w:t xml:space="preserve">Chadwick, Andrew </w:t>
      </w:r>
      <w:r>
        <w:rPr>
          <w:rFonts w:cstheme="minorHAnsi"/>
        </w:rPr>
        <w:t>(</w:t>
      </w:r>
      <w:r w:rsidRPr="007E35CD">
        <w:rPr>
          <w:rFonts w:cstheme="minorHAnsi"/>
        </w:rPr>
        <w:t>2007</w:t>
      </w:r>
      <w:r>
        <w:rPr>
          <w:rFonts w:cstheme="minorHAnsi"/>
        </w:rPr>
        <w:t>)</w:t>
      </w:r>
      <w:r w:rsidRPr="007E35CD">
        <w:rPr>
          <w:rFonts w:cstheme="minorHAnsi"/>
        </w:rPr>
        <w:t xml:space="preserve">. Digital Network Repertoires </w:t>
      </w:r>
      <w:proofErr w:type="spellStart"/>
      <w:r w:rsidRPr="007E35CD">
        <w:rPr>
          <w:rFonts w:cstheme="minorHAnsi"/>
        </w:rPr>
        <w:t>and</w:t>
      </w:r>
      <w:proofErr w:type="spellEnd"/>
      <w:r w:rsidRPr="007E35CD">
        <w:rPr>
          <w:rFonts w:cstheme="minorHAnsi"/>
        </w:rPr>
        <w:t xml:space="preserve"> </w:t>
      </w:r>
      <w:proofErr w:type="spellStart"/>
      <w:r w:rsidRPr="007E35CD">
        <w:rPr>
          <w:rFonts w:cstheme="minorHAnsi"/>
        </w:rPr>
        <w:t>Organizational</w:t>
      </w:r>
      <w:proofErr w:type="spellEnd"/>
      <w:r w:rsidRPr="007E35CD">
        <w:rPr>
          <w:rFonts w:cstheme="minorHAnsi"/>
        </w:rPr>
        <w:t xml:space="preserve"> </w:t>
      </w:r>
      <w:proofErr w:type="spellStart"/>
      <w:r w:rsidRPr="007E35CD">
        <w:rPr>
          <w:rFonts w:cstheme="minorHAnsi"/>
        </w:rPr>
        <w:t>Hybridity</w:t>
      </w:r>
      <w:proofErr w:type="spellEnd"/>
      <w:r>
        <w:rPr>
          <w:rFonts w:cstheme="minorHAnsi"/>
        </w:rPr>
        <w:t>.</w:t>
      </w:r>
      <w:r w:rsidRPr="007E35CD">
        <w:rPr>
          <w:rFonts w:cstheme="minorHAnsi"/>
        </w:rPr>
        <w:t xml:space="preserve"> Political Communication 24, 3</w:t>
      </w:r>
      <w:r>
        <w:rPr>
          <w:rFonts w:cstheme="minorHAnsi"/>
        </w:rPr>
        <w:t xml:space="preserve">: </w:t>
      </w:r>
      <w:r w:rsidRPr="007E35CD">
        <w:rPr>
          <w:rFonts w:cstheme="minorHAnsi"/>
        </w:rPr>
        <w:t>283-301.</w:t>
      </w:r>
    </w:p>
    <w:p w14:paraId="22FF65F1" w14:textId="77777777" w:rsidR="00E63BDB" w:rsidRDefault="00E63BDB" w:rsidP="00E63BDB">
      <w:pPr>
        <w:rPr>
          <w:rFonts w:eastAsia="Times New Roman" w:cstheme="minorHAnsi"/>
          <w:lang w:eastAsia="de-DE"/>
        </w:rPr>
      </w:pPr>
    </w:p>
    <w:p w14:paraId="3AF69C67" w14:textId="77777777" w:rsidR="00E63BDB" w:rsidRDefault="00E63BDB" w:rsidP="00E63BDB">
      <w:pPr>
        <w:rPr>
          <w:rFonts w:eastAsia="Times New Roman" w:cstheme="minorHAnsi"/>
          <w:lang w:eastAsia="de-DE"/>
        </w:rPr>
      </w:pPr>
      <w:r>
        <w:rPr>
          <w:rFonts w:eastAsia="Times New Roman" w:cstheme="minorHAnsi"/>
          <w:lang w:eastAsia="de-DE"/>
        </w:rPr>
        <w:t xml:space="preserve">Chadwick, Andrew (2013). The Hybrid Media System. Politics </w:t>
      </w:r>
      <w:proofErr w:type="spellStart"/>
      <w:r>
        <w:rPr>
          <w:rFonts w:eastAsia="Times New Roman" w:cstheme="minorHAnsi"/>
          <w:lang w:eastAsia="de-DE"/>
        </w:rPr>
        <w:t>and</w:t>
      </w:r>
      <w:proofErr w:type="spellEnd"/>
      <w:r>
        <w:rPr>
          <w:rFonts w:eastAsia="Times New Roman" w:cstheme="minorHAnsi"/>
          <w:lang w:eastAsia="de-DE"/>
        </w:rPr>
        <w:t xml:space="preserve"> Power, Oxford.</w:t>
      </w:r>
    </w:p>
    <w:p w14:paraId="21DAEAB2" w14:textId="77777777" w:rsidR="00E63BDB" w:rsidRDefault="00E63BDB" w:rsidP="00E63BDB">
      <w:pPr>
        <w:rPr>
          <w:rFonts w:eastAsia="Times New Roman" w:cstheme="minorHAnsi"/>
          <w:lang w:eastAsia="de-DE"/>
        </w:rPr>
      </w:pPr>
    </w:p>
    <w:p w14:paraId="666A68E2" w14:textId="3EB048BE" w:rsidR="00E63BDB" w:rsidRDefault="00E63BDB" w:rsidP="00E63BDB">
      <w:pPr>
        <w:rPr>
          <w:rFonts w:eastAsia="Times New Roman" w:cstheme="minorHAnsi"/>
          <w:lang w:eastAsia="de-DE"/>
        </w:rPr>
      </w:pPr>
      <w:proofErr w:type="spellStart"/>
      <w:r>
        <w:rPr>
          <w:rFonts w:eastAsia="Times New Roman" w:cstheme="minorHAnsi"/>
          <w:lang w:eastAsia="de-DE"/>
        </w:rPr>
        <w:t>Haßler</w:t>
      </w:r>
      <w:proofErr w:type="spellEnd"/>
      <w:r>
        <w:rPr>
          <w:rFonts w:eastAsia="Times New Roman" w:cstheme="minorHAnsi"/>
          <w:lang w:eastAsia="de-DE"/>
        </w:rPr>
        <w:t xml:space="preserve">, Jörg &amp; Simon </w:t>
      </w:r>
      <w:proofErr w:type="spellStart"/>
      <w:r>
        <w:rPr>
          <w:rFonts w:eastAsia="Times New Roman" w:cstheme="minorHAnsi"/>
          <w:lang w:eastAsia="de-DE"/>
        </w:rPr>
        <w:t>Kruschinski</w:t>
      </w:r>
      <w:proofErr w:type="spellEnd"/>
      <w:r>
        <w:rPr>
          <w:rFonts w:eastAsia="Times New Roman" w:cstheme="minorHAnsi"/>
          <w:lang w:eastAsia="de-DE"/>
        </w:rPr>
        <w:t xml:space="preserve"> (2019). Vernetzte Kampagne?! Die Verbindung von Offline- und Online-Wahlkampf im Wahljahr 2017 am Beispiel der Mobilisierungskampagnen von CDU und SPD (73-95). In: Christina Holtz-</w:t>
      </w:r>
      <w:proofErr w:type="spellStart"/>
      <w:r>
        <w:rPr>
          <w:rFonts w:eastAsia="Times New Roman" w:cstheme="minorHAnsi"/>
          <w:lang w:eastAsia="de-DE"/>
        </w:rPr>
        <w:t>Bacha</w:t>
      </w:r>
      <w:proofErr w:type="spellEnd"/>
      <w:r>
        <w:rPr>
          <w:rFonts w:eastAsia="Times New Roman" w:cstheme="minorHAnsi"/>
          <w:lang w:eastAsia="de-DE"/>
        </w:rPr>
        <w:t xml:space="preserve"> (</w:t>
      </w:r>
      <w:proofErr w:type="spellStart"/>
      <w:r>
        <w:rPr>
          <w:rFonts w:eastAsia="Times New Roman" w:cstheme="minorHAnsi"/>
          <w:lang w:eastAsia="de-DE"/>
        </w:rPr>
        <w:t>Hg</w:t>
      </w:r>
      <w:proofErr w:type="spellEnd"/>
      <w:r>
        <w:rPr>
          <w:rFonts w:eastAsia="Times New Roman" w:cstheme="minorHAnsi"/>
          <w:lang w:eastAsia="de-DE"/>
        </w:rPr>
        <w:t>.): Die (Massen-)Medien im Wahlkampf. Die Bundestagswahl 2017, Wiesbaden.</w:t>
      </w:r>
    </w:p>
    <w:p w14:paraId="1B46851D" w14:textId="77777777" w:rsidR="00E63BDB" w:rsidRDefault="00E63BDB" w:rsidP="00E63BDB">
      <w:pPr>
        <w:rPr>
          <w:rFonts w:eastAsia="Times New Roman" w:cstheme="minorHAnsi"/>
          <w:lang w:eastAsia="de-DE"/>
        </w:rPr>
      </w:pPr>
    </w:p>
    <w:p w14:paraId="7B6D694C" w14:textId="77777777" w:rsidR="00E63BDB" w:rsidRDefault="00E63BDB" w:rsidP="00E63BDB">
      <w:pPr>
        <w:rPr>
          <w:rFonts w:eastAsia="Times New Roman" w:cstheme="minorHAnsi"/>
          <w:lang w:eastAsia="de-DE"/>
        </w:rPr>
      </w:pPr>
      <w:r>
        <w:rPr>
          <w:rFonts w:eastAsia="Times New Roman" w:cstheme="minorHAnsi"/>
          <w:lang w:eastAsia="de-DE"/>
        </w:rPr>
        <w:t>Klinger, Ulrike (2018a). Aufstieg der Semi-Öffentlichkeit. Eine relationale Perspektive. Publizistik 63: 245-267.</w:t>
      </w:r>
    </w:p>
    <w:p w14:paraId="2F6D788E" w14:textId="77777777" w:rsidR="00E63BDB" w:rsidRDefault="00E63BDB" w:rsidP="00E63BDB">
      <w:pPr>
        <w:rPr>
          <w:rFonts w:eastAsia="Times New Roman" w:cstheme="minorHAnsi"/>
          <w:lang w:eastAsia="de-DE"/>
        </w:rPr>
      </w:pPr>
    </w:p>
    <w:p w14:paraId="15B6A173" w14:textId="77777777" w:rsidR="00E63BDB" w:rsidRDefault="00E63BDB" w:rsidP="00E63BDB">
      <w:pPr>
        <w:rPr>
          <w:rFonts w:eastAsia="Times New Roman" w:cstheme="minorHAnsi"/>
          <w:lang w:eastAsia="de-DE"/>
        </w:rPr>
      </w:pPr>
      <w:r>
        <w:rPr>
          <w:rFonts w:eastAsia="Times New Roman" w:cstheme="minorHAnsi"/>
          <w:lang w:eastAsia="de-DE"/>
        </w:rPr>
        <w:t xml:space="preserve">Klinger, Ulrike (2018b). Semiöffentlichkeit und politische Mobilisierung. </w:t>
      </w:r>
      <w:proofErr w:type="spellStart"/>
      <w:r>
        <w:rPr>
          <w:rFonts w:eastAsia="Times New Roman" w:cstheme="minorHAnsi"/>
          <w:lang w:eastAsia="de-DE"/>
        </w:rPr>
        <w:t>Social</w:t>
      </w:r>
      <w:proofErr w:type="spellEnd"/>
      <w:r>
        <w:rPr>
          <w:rFonts w:eastAsia="Times New Roman" w:cstheme="minorHAnsi"/>
          <w:lang w:eastAsia="de-DE"/>
        </w:rPr>
        <w:t xml:space="preserve"> Media in der mobilisierten Stadt (195-209). In: Andreas Hepp et al. (</w:t>
      </w:r>
      <w:proofErr w:type="spellStart"/>
      <w:r>
        <w:rPr>
          <w:rFonts w:eastAsia="Times New Roman" w:cstheme="minorHAnsi"/>
          <w:lang w:eastAsia="de-DE"/>
        </w:rPr>
        <w:t>Hg</w:t>
      </w:r>
      <w:proofErr w:type="spellEnd"/>
      <w:r>
        <w:rPr>
          <w:rFonts w:eastAsia="Times New Roman" w:cstheme="minorHAnsi"/>
          <w:lang w:eastAsia="de-DE"/>
        </w:rPr>
        <w:t>.): Die mediatisierte Stadt. Medien, Kultur, Kommunikation, Wiesbaden.</w:t>
      </w:r>
    </w:p>
    <w:p w14:paraId="1A5C85A8" w14:textId="77777777" w:rsidR="00E63BDB" w:rsidRDefault="00E63BDB" w:rsidP="00E63BDB">
      <w:pPr>
        <w:rPr>
          <w:rFonts w:eastAsia="Times New Roman" w:cstheme="minorHAnsi"/>
          <w:lang w:eastAsia="de-DE"/>
        </w:rPr>
      </w:pPr>
    </w:p>
    <w:p w14:paraId="6A803F71" w14:textId="19048277" w:rsidR="00E63BDB" w:rsidRPr="00C863A7" w:rsidRDefault="00E63BDB" w:rsidP="00E63BDB">
      <w:pPr>
        <w:rPr>
          <w:rFonts w:eastAsia="Times New Roman" w:cstheme="minorHAnsi"/>
          <w:lang w:eastAsia="de-DE"/>
        </w:rPr>
      </w:pPr>
      <w:r>
        <w:rPr>
          <w:rFonts w:eastAsia="Times New Roman" w:cstheme="minorHAnsi"/>
          <w:lang w:eastAsia="de-DE"/>
        </w:rPr>
        <w:t xml:space="preserve">Pörksen, Bernhard (2018). Die große Gereiztheit. Wege aus der kollektiven Erregung, München. </w:t>
      </w:r>
    </w:p>
    <w:p w14:paraId="2DF868B2" w14:textId="77777777" w:rsidR="00C863A7" w:rsidRDefault="00C863A7" w:rsidP="004276AA">
      <w:pPr>
        <w:spacing w:line="360" w:lineRule="auto"/>
        <w:rPr>
          <w:rFonts w:cstheme="minorHAnsi"/>
          <w:sz w:val="20"/>
          <w:szCs w:val="20"/>
        </w:rPr>
      </w:pPr>
    </w:p>
    <w:p w14:paraId="2DD54729" w14:textId="39439B1E" w:rsidR="00F03174" w:rsidRPr="00F03174" w:rsidRDefault="00F03174" w:rsidP="004276AA">
      <w:pPr>
        <w:spacing w:line="360" w:lineRule="auto"/>
        <w:rPr>
          <w:rFonts w:cstheme="minorHAnsi"/>
          <w:sz w:val="20"/>
          <w:szCs w:val="20"/>
        </w:rPr>
      </w:pPr>
      <w:bookmarkStart w:id="0" w:name="_GoBack"/>
      <w:bookmarkEnd w:id="0"/>
    </w:p>
    <w:sectPr w:rsidR="00F03174" w:rsidRPr="00F03174" w:rsidSect="00B418B9">
      <w:footerReference w:type="even" r:id="rId7"/>
      <w:footerReference w:type="default" r:id="rId8"/>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2A6B5C" w14:textId="77777777" w:rsidR="00E717B6" w:rsidRDefault="00E717B6" w:rsidP="00F663A8">
      <w:r>
        <w:separator/>
      </w:r>
    </w:p>
  </w:endnote>
  <w:endnote w:type="continuationSeparator" w:id="0">
    <w:p w14:paraId="7E653D70" w14:textId="77777777" w:rsidR="00E717B6" w:rsidRDefault="00E717B6" w:rsidP="00F66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86169802"/>
      <w:docPartObj>
        <w:docPartGallery w:val="Page Numbers (Bottom of Page)"/>
        <w:docPartUnique/>
      </w:docPartObj>
    </w:sdtPr>
    <w:sdtEndPr>
      <w:rPr>
        <w:rStyle w:val="Seitenzahl"/>
      </w:rPr>
    </w:sdtEndPr>
    <w:sdtContent>
      <w:p w14:paraId="4C35C4E9" w14:textId="77777777" w:rsidR="00F663A8" w:rsidRDefault="00F663A8" w:rsidP="003871F7">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45CFFA48" w14:textId="77777777" w:rsidR="00F663A8" w:rsidRDefault="00F663A8" w:rsidP="00F663A8">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720329017"/>
      <w:docPartObj>
        <w:docPartGallery w:val="Page Numbers (Bottom of Page)"/>
        <w:docPartUnique/>
      </w:docPartObj>
    </w:sdtPr>
    <w:sdtEndPr>
      <w:rPr>
        <w:rStyle w:val="Seitenzahl"/>
      </w:rPr>
    </w:sdtEndPr>
    <w:sdtContent>
      <w:p w14:paraId="57B01F9C" w14:textId="77777777" w:rsidR="00F663A8" w:rsidRDefault="00F663A8" w:rsidP="003871F7">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sdtContent>
  </w:sdt>
  <w:p w14:paraId="1AB97AE4" w14:textId="77777777" w:rsidR="00F663A8" w:rsidRDefault="00F663A8" w:rsidP="00F663A8">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45E350" w14:textId="77777777" w:rsidR="00E717B6" w:rsidRDefault="00E717B6" w:rsidP="00F663A8">
      <w:r>
        <w:separator/>
      </w:r>
    </w:p>
  </w:footnote>
  <w:footnote w:type="continuationSeparator" w:id="0">
    <w:p w14:paraId="43721CF3" w14:textId="77777777" w:rsidR="00E717B6" w:rsidRDefault="00E717B6" w:rsidP="00F663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135459"/>
    <w:multiLevelType w:val="hybridMultilevel"/>
    <w:tmpl w:val="3072DD3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05B"/>
    <w:rsid w:val="000B1491"/>
    <w:rsid w:val="000C0C6E"/>
    <w:rsid w:val="00223555"/>
    <w:rsid w:val="00251CD0"/>
    <w:rsid w:val="00275213"/>
    <w:rsid w:val="002A7410"/>
    <w:rsid w:val="002E6E95"/>
    <w:rsid w:val="00346ADF"/>
    <w:rsid w:val="004276AA"/>
    <w:rsid w:val="004661A7"/>
    <w:rsid w:val="004B745F"/>
    <w:rsid w:val="00517845"/>
    <w:rsid w:val="0064591F"/>
    <w:rsid w:val="00693AF6"/>
    <w:rsid w:val="00790EDA"/>
    <w:rsid w:val="007D2BE5"/>
    <w:rsid w:val="007E2906"/>
    <w:rsid w:val="00912A36"/>
    <w:rsid w:val="00913D59"/>
    <w:rsid w:val="00954285"/>
    <w:rsid w:val="00973A36"/>
    <w:rsid w:val="00993618"/>
    <w:rsid w:val="009C54B0"/>
    <w:rsid w:val="00A42F58"/>
    <w:rsid w:val="00A71459"/>
    <w:rsid w:val="00A75F18"/>
    <w:rsid w:val="00A94375"/>
    <w:rsid w:val="00B418B9"/>
    <w:rsid w:val="00C863A7"/>
    <w:rsid w:val="00CE705B"/>
    <w:rsid w:val="00E63BDB"/>
    <w:rsid w:val="00E717B6"/>
    <w:rsid w:val="00E75E58"/>
    <w:rsid w:val="00E76446"/>
    <w:rsid w:val="00E90B22"/>
    <w:rsid w:val="00EC7A31"/>
    <w:rsid w:val="00F03174"/>
    <w:rsid w:val="00F663A8"/>
    <w:rsid w:val="00F8516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52609BB"/>
  <w15:chartTrackingRefBased/>
  <w15:docId w15:val="{B966A077-62B5-6349-82D4-E0682037E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EC7A31"/>
    <w:rPr>
      <w:color w:val="0000FF"/>
      <w:u w:val="single"/>
    </w:rPr>
  </w:style>
  <w:style w:type="paragraph" w:styleId="Fuzeile">
    <w:name w:val="footer"/>
    <w:basedOn w:val="Standard"/>
    <w:link w:val="FuzeileZchn"/>
    <w:uiPriority w:val="99"/>
    <w:unhideWhenUsed/>
    <w:rsid w:val="00F663A8"/>
    <w:pPr>
      <w:tabs>
        <w:tab w:val="center" w:pos="4536"/>
        <w:tab w:val="right" w:pos="9072"/>
      </w:tabs>
    </w:pPr>
  </w:style>
  <w:style w:type="character" w:customStyle="1" w:styleId="FuzeileZchn">
    <w:name w:val="Fußzeile Zchn"/>
    <w:basedOn w:val="Absatz-Standardschriftart"/>
    <w:link w:val="Fuzeile"/>
    <w:uiPriority w:val="99"/>
    <w:rsid w:val="00F663A8"/>
  </w:style>
  <w:style w:type="character" w:styleId="Seitenzahl">
    <w:name w:val="page number"/>
    <w:basedOn w:val="Absatz-Standardschriftart"/>
    <w:uiPriority w:val="99"/>
    <w:semiHidden/>
    <w:unhideWhenUsed/>
    <w:rsid w:val="00F663A8"/>
  </w:style>
  <w:style w:type="paragraph" w:styleId="Listenabsatz">
    <w:name w:val="List Paragraph"/>
    <w:basedOn w:val="Standard"/>
    <w:uiPriority w:val="34"/>
    <w:qFormat/>
    <w:rsid w:val="00790EDA"/>
    <w:pPr>
      <w:ind w:left="720"/>
      <w:contextualSpacing/>
    </w:pPr>
  </w:style>
  <w:style w:type="paragraph" w:styleId="Sprechblasentext">
    <w:name w:val="Balloon Text"/>
    <w:basedOn w:val="Standard"/>
    <w:link w:val="SprechblasentextZchn"/>
    <w:uiPriority w:val="99"/>
    <w:semiHidden/>
    <w:unhideWhenUsed/>
    <w:rsid w:val="00A75F18"/>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A75F18"/>
    <w:rPr>
      <w:rFonts w:ascii="Times New Roman" w:hAnsi="Times New Roman" w:cs="Times New Roman"/>
      <w:sz w:val="18"/>
      <w:szCs w:val="18"/>
    </w:rPr>
  </w:style>
  <w:style w:type="character" w:styleId="Kommentarzeichen">
    <w:name w:val="annotation reference"/>
    <w:basedOn w:val="Absatz-Standardschriftart"/>
    <w:uiPriority w:val="99"/>
    <w:semiHidden/>
    <w:unhideWhenUsed/>
    <w:rsid w:val="00A75F18"/>
    <w:rPr>
      <w:sz w:val="16"/>
      <w:szCs w:val="16"/>
    </w:rPr>
  </w:style>
  <w:style w:type="paragraph" w:styleId="Kommentartext">
    <w:name w:val="annotation text"/>
    <w:basedOn w:val="Standard"/>
    <w:link w:val="KommentartextZchn"/>
    <w:uiPriority w:val="99"/>
    <w:semiHidden/>
    <w:unhideWhenUsed/>
    <w:rsid w:val="00A75F18"/>
    <w:rPr>
      <w:sz w:val="20"/>
      <w:szCs w:val="20"/>
    </w:rPr>
  </w:style>
  <w:style w:type="character" w:customStyle="1" w:styleId="KommentartextZchn">
    <w:name w:val="Kommentartext Zchn"/>
    <w:basedOn w:val="Absatz-Standardschriftart"/>
    <w:link w:val="Kommentartext"/>
    <w:uiPriority w:val="99"/>
    <w:semiHidden/>
    <w:rsid w:val="00A75F18"/>
    <w:rPr>
      <w:sz w:val="20"/>
      <w:szCs w:val="20"/>
    </w:rPr>
  </w:style>
  <w:style w:type="paragraph" w:styleId="Kommentarthema">
    <w:name w:val="annotation subject"/>
    <w:basedOn w:val="Kommentartext"/>
    <w:next w:val="Kommentartext"/>
    <w:link w:val="KommentarthemaZchn"/>
    <w:uiPriority w:val="99"/>
    <w:semiHidden/>
    <w:unhideWhenUsed/>
    <w:rsid w:val="00A75F18"/>
    <w:rPr>
      <w:b/>
      <w:bCs/>
    </w:rPr>
  </w:style>
  <w:style w:type="character" w:customStyle="1" w:styleId="KommentarthemaZchn">
    <w:name w:val="Kommentarthema Zchn"/>
    <w:basedOn w:val="KommentartextZchn"/>
    <w:link w:val="Kommentarthema"/>
    <w:uiPriority w:val="99"/>
    <w:semiHidden/>
    <w:rsid w:val="00A75F18"/>
    <w:rPr>
      <w:b/>
      <w:bCs/>
      <w:sz w:val="20"/>
      <w:szCs w:val="20"/>
    </w:rPr>
  </w:style>
  <w:style w:type="paragraph" w:styleId="berarbeitung">
    <w:name w:val="Revision"/>
    <w:hidden/>
    <w:uiPriority w:val="99"/>
    <w:semiHidden/>
    <w:rsid w:val="00E63B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8340232">
      <w:bodyDiv w:val="1"/>
      <w:marLeft w:val="0"/>
      <w:marRight w:val="0"/>
      <w:marTop w:val="0"/>
      <w:marBottom w:val="0"/>
      <w:divBdr>
        <w:top w:val="none" w:sz="0" w:space="0" w:color="auto"/>
        <w:left w:val="none" w:sz="0" w:space="0" w:color="auto"/>
        <w:bottom w:val="none" w:sz="0" w:space="0" w:color="auto"/>
        <w:right w:val="none" w:sz="0" w:space="0" w:color="auto"/>
      </w:divBdr>
    </w:div>
    <w:div w:id="1906718192">
      <w:bodyDiv w:val="1"/>
      <w:marLeft w:val="0"/>
      <w:marRight w:val="0"/>
      <w:marTop w:val="0"/>
      <w:marBottom w:val="0"/>
      <w:divBdr>
        <w:top w:val="none" w:sz="0" w:space="0" w:color="auto"/>
        <w:left w:val="none" w:sz="0" w:space="0" w:color="auto"/>
        <w:bottom w:val="none" w:sz="0" w:space="0" w:color="auto"/>
        <w:right w:val="none" w:sz="0" w:space="0" w:color="auto"/>
      </w:divBdr>
      <w:divsChild>
        <w:div w:id="1911502155">
          <w:marLeft w:val="0"/>
          <w:marRight w:val="0"/>
          <w:marTop w:val="0"/>
          <w:marBottom w:val="0"/>
          <w:divBdr>
            <w:top w:val="none" w:sz="0" w:space="0" w:color="auto"/>
            <w:left w:val="none" w:sz="0" w:space="0" w:color="auto"/>
            <w:bottom w:val="none" w:sz="0" w:space="0" w:color="auto"/>
            <w:right w:val="none" w:sz="0" w:space="0" w:color="auto"/>
          </w:divBdr>
        </w:div>
        <w:div w:id="369190751">
          <w:marLeft w:val="0"/>
          <w:marRight w:val="0"/>
          <w:marTop w:val="0"/>
          <w:marBottom w:val="0"/>
          <w:divBdr>
            <w:top w:val="none" w:sz="0" w:space="0" w:color="auto"/>
            <w:left w:val="none" w:sz="0" w:space="0" w:color="auto"/>
            <w:bottom w:val="none" w:sz="0" w:space="0" w:color="auto"/>
            <w:right w:val="none" w:sz="0" w:space="0" w:color="auto"/>
          </w:divBdr>
        </w:div>
        <w:div w:id="1489437531">
          <w:marLeft w:val="0"/>
          <w:marRight w:val="0"/>
          <w:marTop w:val="0"/>
          <w:marBottom w:val="0"/>
          <w:divBdr>
            <w:top w:val="none" w:sz="0" w:space="0" w:color="auto"/>
            <w:left w:val="none" w:sz="0" w:space="0" w:color="auto"/>
            <w:bottom w:val="none" w:sz="0" w:space="0" w:color="auto"/>
            <w:right w:val="none" w:sz="0" w:space="0" w:color="auto"/>
          </w:divBdr>
        </w:div>
        <w:div w:id="8019207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1242</Words>
  <Characters>7171</Characters>
  <Application>Microsoft Office Word</Application>
  <DocSecurity>0</DocSecurity>
  <Lines>119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2019-08-11T06:42:00Z</dcterms:created>
  <dcterms:modified xsi:type="dcterms:W3CDTF">2019-08-11T08:00:00Z</dcterms:modified>
</cp:coreProperties>
</file>