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06B79" w14:textId="7F339472" w:rsidR="0099161C" w:rsidRPr="00EE7BC0" w:rsidRDefault="00F1550F" w:rsidP="0099161C">
      <w:pPr>
        <w:pStyle w:val="berschrift1"/>
        <w:spacing w:before="0"/>
        <w:jc w:val="both"/>
        <w:rPr>
          <w:rFonts w:ascii="Arial" w:hAnsi="Arial" w:cs="Arial"/>
          <w:color w:val="auto"/>
          <w:sz w:val="22"/>
          <w:szCs w:val="20"/>
        </w:rPr>
      </w:pPr>
      <w:r w:rsidRPr="00F1550F">
        <w:rPr>
          <w:rFonts w:ascii="Arial" w:hAnsi="Arial" w:cs="Arial"/>
          <w:color w:val="auto"/>
          <w:sz w:val="22"/>
          <w:szCs w:val="20"/>
        </w:rPr>
        <w:t xml:space="preserve">Netzwerk Kritische Kommunikationswissenschaft </w:t>
      </w:r>
      <w:r w:rsidR="0099161C" w:rsidRPr="00F420C0">
        <w:rPr>
          <w:rFonts w:ascii="Arial" w:hAnsi="Arial" w:cs="Arial"/>
          <w:color w:val="auto"/>
          <w:sz w:val="22"/>
          <w:szCs w:val="20"/>
        </w:rPr>
        <w:t xml:space="preserve">| </w:t>
      </w:r>
      <w:r>
        <w:rPr>
          <w:rFonts w:ascii="Arial" w:hAnsi="Arial" w:cs="Arial"/>
          <w:color w:val="auto"/>
          <w:sz w:val="22"/>
          <w:szCs w:val="20"/>
        </w:rPr>
        <w:t>Jahrestagung</w:t>
      </w:r>
    </w:p>
    <w:p w14:paraId="7E67F77D" w14:textId="19A9A811" w:rsidR="0099161C" w:rsidRPr="00F420C0" w:rsidRDefault="00F1550F" w:rsidP="0099161C">
      <w:pPr>
        <w:spacing w:after="0" w:line="240" w:lineRule="auto"/>
        <w:rPr>
          <w:rFonts w:eastAsiaTheme="majorEastAsia"/>
          <w:szCs w:val="20"/>
        </w:rPr>
      </w:pPr>
      <w:r w:rsidRPr="00F1550F">
        <w:t>Medien der Transformation − Transformation der Medien</w:t>
      </w:r>
      <w:r w:rsidR="0099161C" w:rsidRPr="00F420C0">
        <w:rPr>
          <w:rFonts w:eastAsiaTheme="majorEastAsia"/>
          <w:szCs w:val="20"/>
        </w:rPr>
        <w:t xml:space="preserve">, </w:t>
      </w:r>
      <w:r w:rsidR="0099161C">
        <w:rPr>
          <w:rFonts w:eastAsiaTheme="majorEastAsia"/>
          <w:szCs w:val="20"/>
        </w:rPr>
        <w:br/>
        <w:t>2</w:t>
      </w:r>
      <w:r>
        <w:rPr>
          <w:rFonts w:eastAsiaTheme="majorEastAsia"/>
          <w:szCs w:val="20"/>
        </w:rPr>
        <w:t>1</w:t>
      </w:r>
      <w:r w:rsidR="0099161C" w:rsidRPr="00F420C0">
        <w:rPr>
          <w:rFonts w:eastAsiaTheme="majorEastAsia"/>
          <w:szCs w:val="20"/>
        </w:rPr>
        <w:t>.–</w:t>
      </w:r>
      <w:r w:rsidR="0099161C">
        <w:rPr>
          <w:rFonts w:eastAsiaTheme="majorEastAsia"/>
          <w:szCs w:val="20"/>
        </w:rPr>
        <w:t>2</w:t>
      </w:r>
      <w:r>
        <w:rPr>
          <w:rFonts w:eastAsiaTheme="majorEastAsia"/>
          <w:szCs w:val="20"/>
        </w:rPr>
        <w:t>2</w:t>
      </w:r>
      <w:r w:rsidR="0099161C" w:rsidRPr="00F420C0">
        <w:rPr>
          <w:rFonts w:eastAsiaTheme="majorEastAsia"/>
          <w:szCs w:val="20"/>
        </w:rPr>
        <w:t xml:space="preserve">. </w:t>
      </w:r>
      <w:r>
        <w:rPr>
          <w:rFonts w:eastAsiaTheme="majorEastAsia"/>
          <w:szCs w:val="20"/>
        </w:rPr>
        <w:t xml:space="preserve">November </w:t>
      </w:r>
      <w:r w:rsidR="0099161C" w:rsidRPr="00F420C0">
        <w:rPr>
          <w:rFonts w:eastAsiaTheme="majorEastAsia"/>
          <w:szCs w:val="20"/>
        </w:rPr>
        <w:t>201</w:t>
      </w:r>
      <w:r>
        <w:rPr>
          <w:rFonts w:eastAsiaTheme="majorEastAsia"/>
          <w:szCs w:val="20"/>
        </w:rPr>
        <w:t>9</w:t>
      </w:r>
      <w:r w:rsidR="0099161C" w:rsidRPr="00F420C0">
        <w:rPr>
          <w:rFonts w:eastAsiaTheme="majorEastAsia"/>
          <w:szCs w:val="20"/>
        </w:rPr>
        <w:t xml:space="preserve">, Universität </w:t>
      </w:r>
      <w:r>
        <w:rPr>
          <w:rFonts w:eastAsiaTheme="majorEastAsia"/>
          <w:szCs w:val="20"/>
        </w:rPr>
        <w:t>Leipzig</w:t>
      </w:r>
      <w:r w:rsidR="0099161C" w:rsidRPr="00F420C0">
        <w:rPr>
          <w:rFonts w:eastAsiaTheme="majorEastAsia"/>
          <w:szCs w:val="20"/>
        </w:rPr>
        <w:t>.</w:t>
      </w:r>
    </w:p>
    <w:p w14:paraId="716C2D2A" w14:textId="77777777" w:rsidR="00F1550F" w:rsidRDefault="00F1550F">
      <w:pPr>
        <w:rPr>
          <w:b/>
        </w:rPr>
      </w:pPr>
    </w:p>
    <w:p w14:paraId="4D4B4A87" w14:textId="77777777" w:rsidR="00F1550F" w:rsidRDefault="00F1550F">
      <w:pPr>
        <w:rPr>
          <w:b/>
        </w:rPr>
      </w:pPr>
    </w:p>
    <w:p w14:paraId="74D2BC68" w14:textId="77777777" w:rsidR="002B66F6" w:rsidRPr="002B66F6" w:rsidRDefault="002B66F6" w:rsidP="002B66F6">
      <w:pPr>
        <w:rPr>
          <w:b/>
          <w:sz w:val="24"/>
          <w:szCs w:val="24"/>
        </w:rPr>
      </w:pPr>
      <w:r>
        <w:rPr>
          <w:b/>
          <w:sz w:val="24"/>
          <w:szCs w:val="24"/>
        </w:rPr>
        <w:t>Wikipedia</w:t>
      </w:r>
      <w:r w:rsidRPr="002B66F6">
        <w:rPr>
          <w:b/>
          <w:sz w:val="24"/>
          <w:szCs w:val="24"/>
        </w:rPr>
        <w:t xml:space="preserve"> und die Transformation der Wissensaushandlung </w:t>
      </w:r>
    </w:p>
    <w:p w14:paraId="230392F9" w14:textId="189DF5B6" w:rsidR="00607EFD" w:rsidRPr="00B93A06" w:rsidRDefault="00607EFD" w:rsidP="00607EFD">
      <w:pPr>
        <w:spacing w:after="0" w:line="240" w:lineRule="auto"/>
        <w:rPr>
          <w:i/>
        </w:rPr>
      </w:pPr>
      <w:r w:rsidRPr="00B93A06">
        <w:rPr>
          <w:i/>
        </w:rPr>
        <w:t xml:space="preserve">Eingereicht </w:t>
      </w:r>
      <w:r w:rsidR="00F1550F">
        <w:rPr>
          <w:i/>
        </w:rPr>
        <w:t xml:space="preserve">als Tagungsvortrag </w:t>
      </w:r>
      <w:r w:rsidRPr="00B93A06">
        <w:rPr>
          <w:i/>
        </w:rPr>
        <w:t>von</w:t>
      </w:r>
    </w:p>
    <w:p w14:paraId="5B2A23CF" w14:textId="77777777" w:rsidR="00607EFD" w:rsidRPr="00B93A06" w:rsidRDefault="00607EFD" w:rsidP="00607EFD">
      <w:pPr>
        <w:spacing w:after="0" w:line="240" w:lineRule="auto"/>
        <w:rPr>
          <w:i/>
        </w:rPr>
      </w:pPr>
      <w:r w:rsidRPr="00B93A06">
        <w:rPr>
          <w:i/>
        </w:rPr>
        <w:t>Johannes Gemkow, M. A.</w:t>
      </w:r>
    </w:p>
    <w:p w14:paraId="7AACB5BB" w14:textId="77777777" w:rsidR="00607EFD" w:rsidRPr="00B93A06" w:rsidRDefault="00607EFD" w:rsidP="00607EFD">
      <w:pPr>
        <w:spacing w:after="0" w:line="240" w:lineRule="auto"/>
        <w:rPr>
          <w:i/>
        </w:rPr>
      </w:pPr>
      <w:r w:rsidRPr="00B93A06">
        <w:rPr>
          <w:i/>
        </w:rPr>
        <w:t>Wissenschaftlicher Mitarbeiter</w:t>
      </w:r>
      <w:r>
        <w:rPr>
          <w:i/>
        </w:rPr>
        <w:t xml:space="preserve"> und Promovend</w:t>
      </w:r>
    </w:p>
    <w:p w14:paraId="4EC4B899" w14:textId="77777777" w:rsidR="00607EFD" w:rsidRPr="00B93A06" w:rsidRDefault="00607EFD" w:rsidP="00607EFD">
      <w:pPr>
        <w:spacing w:after="0" w:line="240" w:lineRule="auto"/>
        <w:rPr>
          <w:i/>
        </w:rPr>
      </w:pPr>
      <w:r w:rsidRPr="00B93A06">
        <w:rPr>
          <w:i/>
        </w:rPr>
        <w:t>Professur für Medienkompetenz</w:t>
      </w:r>
      <w:r w:rsidRPr="00B93A06">
        <w:rPr>
          <w:i/>
        </w:rPr>
        <w:noBreakHyphen/>
        <w:t xml:space="preserve"> und Aneignungsforschung</w:t>
      </w:r>
    </w:p>
    <w:p w14:paraId="6BEAB48C" w14:textId="77777777" w:rsidR="0099161C" w:rsidRDefault="00607EFD" w:rsidP="00607EFD">
      <w:pPr>
        <w:spacing w:after="0" w:line="240" w:lineRule="auto"/>
        <w:rPr>
          <w:i/>
        </w:rPr>
      </w:pPr>
      <w:r w:rsidRPr="00B93A06">
        <w:rPr>
          <w:i/>
        </w:rPr>
        <w:t>Universität Leipzig</w:t>
      </w:r>
    </w:p>
    <w:p w14:paraId="525F3F41" w14:textId="77777777" w:rsidR="00F1550F" w:rsidRDefault="00F1550F" w:rsidP="0099161C"/>
    <w:p w14:paraId="4CB21E2F" w14:textId="77777777" w:rsidR="00F1550F" w:rsidRDefault="00F1550F" w:rsidP="0099161C"/>
    <w:p w14:paraId="261D5F70" w14:textId="410E6FA8" w:rsidR="0099161C" w:rsidRDefault="0099161C" w:rsidP="0099161C">
      <w:r>
        <w:br w:type="page"/>
      </w:r>
    </w:p>
    <w:p w14:paraId="4FE319D6" w14:textId="34529B98" w:rsidR="000A6170" w:rsidRPr="002B66F6" w:rsidRDefault="002B66F6" w:rsidP="000A6170">
      <w:pPr>
        <w:rPr>
          <w:b/>
          <w:sz w:val="24"/>
          <w:szCs w:val="24"/>
        </w:rPr>
      </w:pPr>
      <w:bookmarkStart w:id="0" w:name="_GoBack"/>
      <w:r>
        <w:rPr>
          <w:b/>
          <w:sz w:val="24"/>
          <w:szCs w:val="24"/>
        </w:rPr>
        <w:lastRenderedPageBreak/>
        <w:t>Wikipedia</w:t>
      </w:r>
      <w:r w:rsidR="00165882" w:rsidRPr="002B66F6">
        <w:rPr>
          <w:b/>
          <w:sz w:val="24"/>
          <w:szCs w:val="24"/>
        </w:rPr>
        <w:t xml:space="preserve"> und die Transformation der Wissensaushandlung </w:t>
      </w:r>
    </w:p>
    <w:p w14:paraId="4B3CA28B" w14:textId="44DD99F6" w:rsidR="00C211BA" w:rsidRPr="00000125" w:rsidRDefault="00C211BA" w:rsidP="00C211BA">
      <w:pPr>
        <w:pStyle w:val="AbsatzAufzhlung"/>
        <w:ind w:left="0"/>
        <w:rPr>
          <w:rFonts w:asciiTheme="minorHAnsi" w:hAnsiTheme="minorHAnsi" w:cstheme="minorHAnsi"/>
        </w:rPr>
      </w:pPr>
      <w:r w:rsidRPr="00000125">
        <w:rPr>
          <w:rFonts w:asciiTheme="minorHAnsi" w:hAnsiTheme="minorHAnsi" w:cstheme="minorHAnsi"/>
        </w:rPr>
        <w:t xml:space="preserve">Die Online-Enzyklopädie Wikipedia enthält sprachübergreifend mehr als 36 Millionen Artikel. Die englische Version von Wikipedia ist mit knapp über 5 Millionen Artikel am umfangreichsten. Die deutsche Version bietet knapp 2,2 Millionen Artikel. Im Vergleich dazu stellt die aktuelle Auflage des Brockhaus (sowohl die online- und Printversion) rund 300.000 Artikel bereit </w:t>
      </w:r>
      <w:r w:rsidRPr="00000125">
        <w:rPr>
          <w:rFonts w:asciiTheme="minorHAnsi" w:hAnsiTheme="minorHAnsi" w:cstheme="minorHAnsi"/>
        </w:rPr>
        <w:fldChar w:fldCharType="begin"/>
      </w:r>
      <w:r w:rsidRPr="00000125">
        <w:rPr>
          <w:rFonts w:asciiTheme="minorHAnsi" w:hAnsiTheme="minorHAnsi" w:cstheme="minorHAnsi"/>
        </w:rPr>
        <w:instrText>ADDIN CITAVI.PLACEHOLDER dd29526c-8760-4d98-b783-888d5ebe33fd 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dmdsLiBXaWtpcGVkaWEgMjAxOCk8L1RleHQ+DQogICAgPC9UZXh0VW5pdD4NCiAgPC9UZXh0VW5pdHM+DQo8L1BsYWNlaG9sZGVyPg==</w:instrText>
      </w:r>
      <w:r w:rsidRPr="00000125">
        <w:rPr>
          <w:rFonts w:asciiTheme="minorHAnsi" w:hAnsiTheme="minorHAnsi" w:cstheme="minorHAnsi"/>
        </w:rPr>
        <w:fldChar w:fldCharType="separate"/>
      </w:r>
      <w:bookmarkStart w:id="1" w:name="_CTVP001dd29526c87604d98b783888d5ebe33fd"/>
      <w:r w:rsidRPr="00000125">
        <w:rPr>
          <w:rFonts w:asciiTheme="minorHAnsi" w:hAnsiTheme="minorHAnsi" w:cstheme="minorHAnsi"/>
        </w:rPr>
        <w:t>(vgl. Wikipedia 201</w:t>
      </w:r>
      <w:r w:rsidR="008D359F">
        <w:rPr>
          <w:rFonts w:asciiTheme="minorHAnsi" w:hAnsiTheme="minorHAnsi" w:cstheme="minorHAnsi"/>
        </w:rPr>
        <w:t>9a</w:t>
      </w:r>
      <w:r w:rsidRPr="00000125">
        <w:rPr>
          <w:rFonts w:asciiTheme="minorHAnsi" w:hAnsiTheme="minorHAnsi" w:cstheme="minorHAnsi"/>
        </w:rPr>
        <w:t>)</w:t>
      </w:r>
      <w:bookmarkEnd w:id="1"/>
      <w:r w:rsidRPr="00000125">
        <w:rPr>
          <w:rFonts w:asciiTheme="minorHAnsi" w:hAnsiTheme="minorHAnsi" w:cstheme="minorHAnsi"/>
        </w:rPr>
        <w:fldChar w:fldCharType="end"/>
      </w:r>
      <w:r w:rsidRPr="00000125">
        <w:rPr>
          <w:rFonts w:asciiTheme="minorHAnsi" w:hAnsiTheme="minorHAnsi" w:cstheme="minorHAnsi"/>
        </w:rPr>
        <w:t>. Im Januar 2019 wurde die deutsche Wikipedia täglich ca. 36 Millionen Mal aufgerufen. Im selben Zeitraum kam die englische Wikipedia auf ca. 265 Millionen Aufrufe und alle Sprachversionen übergreifend waren es ca. 537 Millionen Aufrufe pro Tag. (vgl. Wikipedia 2019</w:t>
      </w:r>
      <w:r w:rsidR="008D359F">
        <w:rPr>
          <w:rFonts w:asciiTheme="minorHAnsi" w:hAnsiTheme="minorHAnsi" w:cstheme="minorHAnsi"/>
        </w:rPr>
        <w:t>b</w:t>
      </w:r>
      <w:r w:rsidRPr="00000125">
        <w:rPr>
          <w:rFonts w:asciiTheme="minorHAnsi" w:hAnsiTheme="minorHAnsi" w:cstheme="minorHAnsi"/>
        </w:rPr>
        <w:t>). Die Wikipedia verfügen über einen technisch niedrigschwelligen und einheitlichen Zugang und fokussier</w:t>
      </w:r>
      <w:r w:rsidR="005946BF">
        <w:rPr>
          <w:rFonts w:asciiTheme="minorHAnsi" w:hAnsiTheme="minorHAnsi" w:cstheme="minorHAnsi"/>
        </w:rPr>
        <w:t>t dabei</w:t>
      </w:r>
      <w:r w:rsidRPr="00000125">
        <w:rPr>
          <w:rFonts w:asciiTheme="minorHAnsi" w:hAnsiTheme="minorHAnsi" w:cstheme="minorHAnsi"/>
        </w:rPr>
        <w:t xml:space="preserve"> kein spezifisches Thema. Die Wikipedia allein stellt mithin das größte Angebot an Wissensrepräsentationen im World Wide Web dar. </w:t>
      </w:r>
    </w:p>
    <w:p w14:paraId="1BF4B815" w14:textId="65163B26" w:rsidR="00C211BA" w:rsidRPr="002B66F6" w:rsidRDefault="00C211BA" w:rsidP="000A6170">
      <w:pPr>
        <w:jc w:val="both"/>
        <w:rPr>
          <w:rFonts w:eastAsia="Times New Roman" w:cstheme="minorHAnsi"/>
          <w:sz w:val="24"/>
          <w:szCs w:val="24"/>
          <w:lang w:eastAsia="de-DE"/>
        </w:rPr>
      </w:pPr>
      <w:r w:rsidRPr="002B66F6">
        <w:rPr>
          <w:rFonts w:eastAsia="Times New Roman" w:cstheme="minorHAnsi"/>
          <w:sz w:val="24"/>
          <w:szCs w:val="24"/>
          <w:lang w:eastAsia="de-DE"/>
        </w:rPr>
        <w:t>Die Wikipedia gilt als Paradespiel für kollektive Wissensherstellung. Die Struktur der Wikipedia wurde erst durch den flächendeckenden Ausbau digitaler Infrastruktur möglich. Mithin kommt der Wikipedia eine euphorische Zuschreibung als</w:t>
      </w:r>
      <w:r w:rsidR="005946BF">
        <w:rPr>
          <w:rFonts w:eastAsia="Times New Roman" w:cstheme="minorHAnsi"/>
          <w:sz w:val="24"/>
          <w:szCs w:val="24"/>
          <w:lang w:eastAsia="de-DE"/>
        </w:rPr>
        <w:t xml:space="preserve"> Verwirklichung des Traumes eines menschlichen Gedächtnisses zu. </w:t>
      </w:r>
      <w:r w:rsidRPr="002B66F6">
        <w:rPr>
          <w:rFonts w:eastAsia="Times New Roman" w:cstheme="minorHAnsi"/>
          <w:sz w:val="24"/>
          <w:szCs w:val="24"/>
          <w:lang w:eastAsia="de-DE"/>
        </w:rPr>
        <w:t>Aber auch negative Perspektiven</w:t>
      </w:r>
      <w:r w:rsidR="005946BF">
        <w:rPr>
          <w:rFonts w:eastAsia="Times New Roman" w:cstheme="minorHAnsi"/>
          <w:sz w:val="24"/>
          <w:szCs w:val="24"/>
          <w:lang w:eastAsia="de-DE"/>
        </w:rPr>
        <w:t>, wie Verlust von Gedächtnisleistungen und fehlende Qualitätssicherung,</w:t>
      </w:r>
      <w:r w:rsidRPr="002B66F6">
        <w:rPr>
          <w:rFonts w:eastAsia="Times New Roman" w:cstheme="minorHAnsi"/>
          <w:sz w:val="24"/>
          <w:szCs w:val="24"/>
          <w:lang w:eastAsia="de-DE"/>
        </w:rPr>
        <w:t xml:space="preserve"> werden mit der Wikipedia verknüpft.</w:t>
      </w:r>
      <w:r w:rsidRPr="002B66F6">
        <w:rPr>
          <w:rFonts w:eastAsia="Times New Roman" w:cstheme="minorHAnsi"/>
          <w:sz w:val="24"/>
          <w:szCs w:val="24"/>
          <w:lang w:eastAsia="de-DE"/>
        </w:rPr>
        <w:br/>
        <w:t>Dieser Beitrag möchte fernab einer dualistischen Sichtweise in „gut“ und „schlecht“ beschreiben, wie in der Wikipedia Wissen hervorgebracht wird. Der Beitrag möchte jedoch nicht auf einer soziologischen Deskription verweilen, sondern mit dem Konzept der Medienkompetenz, eine pädagogische Folgerung diskutieren.</w:t>
      </w:r>
    </w:p>
    <w:p w14:paraId="1532AAEE" w14:textId="2386B389" w:rsidR="00C211BA" w:rsidRPr="00000125" w:rsidRDefault="00C211BA" w:rsidP="00C211BA">
      <w:pPr>
        <w:pStyle w:val="AbsatzAufzhlung"/>
        <w:ind w:left="0"/>
        <w:rPr>
          <w:rFonts w:asciiTheme="minorHAnsi" w:hAnsiTheme="minorHAnsi" w:cstheme="minorHAnsi"/>
        </w:rPr>
      </w:pPr>
      <w:r w:rsidRPr="00000125">
        <w:rPr>
          <w:rFonts w:asciiTheme="minorHAnsi" w:hAnsiTheme="minorHAnsi" w:cstheme="minorHAnsi"/>
        </w:rPr>
        <w:t xml:space="preserve">Die Generierung und Prozessierung von Wissen auf der Wikipedia basiert auf verschiedenen </w:t>
      </w:r>
      <w:r>
        <w:rPr>
          <w:rFonts w:asciiTheme="minorHAnsi" w:hAnsiTheme="minorHAnsi" w:cstheme="minorHAnsi"/>
        </w:rPr>
        <w:t>Handlungsmöglichkeiten und -praktiken</w:t>
      </w:r>
      <w:r w:rsidRPr="00000125">
        <w:rPr>
          <w:rFonts w:asciiTheme="minorHAnsi" w:hAnsiTheme="minorHAnsi" w:cstheme="minorHAnsi"/>
        </w:rPr>
        <w:t xml:space="preserve">, wie beispielsweise themenspezifischen Diskussionsräumen, kommentierten Versionsgeschichten, kollektiven Umfragen </w:t>
      </w:r>
      <w:r>
        <w:rPr>
          <w:rFonts w:asciiTheme="minorHAnsi" w:hAnsiTheme="minorHAnsi" w:cstheme="minorHAnsi"/>
        </w:rPr>
        <w:t xml:space="preserve">oder </w:t>
      </w:r>
      <w:r w:rsidRPr="00000125">
        <w:rPr>
          <w:rFonts w:asciiTheme="minorHAnsi" w:hAnsiTheme="minorHAnsi" w:cstheme="minorHAnsi"/>
        </w:rPr>
        <w:t xml:space="preserve">projektbezogenen Vergemeinschaftungen. </w:t>
      </w:r>
      <w:r>
        <w:rPr>
          <w:rFonts w:asciiTheme="minorHAnsi" w:hAnsiTheme="minorHAnsi" w:cstheme="minorHAnsi"/>
        </w:rPr>
        <w:t>Mit</w:t>
      </w:r>
      <w:r w:rsidRPr="00000125">
        <w:rPr>
          <w:rFonts w:asciiTheme="minorHAnsi" w:hAnsiTheme="minorHAnsi" w:cstheme="minorHAnsi"/>
        </w:rPr>
        <w:t xml:space="preserve"> diese</w:t>
      </w:r>
      <w:r>
        <w:rPr>
          <w:rFonts w:asciiTheme="minorHAnsi" w:hAnsiTheme="minorHAnsi" w:cstheme="minorHAnsi"/>
        </w:rPr>
        <w:t>n</w:t>
      </w:r>
      <w:r w:rsidRPr="00000125">
        <w:rPr>
          <w:rFonts w:asciiTheme="minorHAnsi" w:hAnsiTheme="minorHAnsi" w:cstheme="minorHAnsi"/>
        </w:rPr>
        <w:t xml:space="preserve"> verschiedenen</w:t>
      </w:r>
      <w:r>
        <w:rPr>
          <w:rFonts w:asciiTheme="minorHAnsi" w:hAnsiTheme="minorHAnsi" w:cstheme="minorHAnsi"/>
        </w:rPr>
        <w:t xml:space="preserve"> Handlungsmöglichkeiten und -praktiken</w:t>
      </w:r>
      <w:r w:rsidRPr="00000125">
        <w:rPr>
          <w:rFonts w:asciiTheme="minorHAnsi" w:hAnsiTheme="minorHAnsi" w:cstheme="minorHAnsi"/>
        </w:rPr>
        <w:t xml:space="preserve"> wird das von Wikipedia repräsentierte Wissen diskutiert, bearbeitet und reguliert. </w:t>
      </w:r>
      <w:r>
        <w:rPr>
          <w:rFonts w:asciiTheme="minorHAnsi" w:hAnsiTheme="minorHAnsi" w:cstheme="minorHAnsi"/>
        </w:rPr>
        <w:t>Handlungsmöglichkeiten und -praktiken</w:t>
      </w:r>
      <w:r w:rsidRPr="00000125">
        <w:rPr>
          <w:rFonts w:asciiTheme="minorHAnsi" w:hAnsiTheme="minorHAnsi" w:cstheme="minorHAnsi"/>
        </w:rPr>
        <w:t xml:space="preserve"> nehmen somit einen formierenden und regulierenden Einfluss auf das weltweit und humangeschichtlich größte</w:t>
      </w:r>
      <w:r>
        <w:rPr>
          <w:rFonts w:asciiTheme="minorHAnsi" w:hAnsiTheme="minorHAnsi" w:cstheme="minorHAnsi"/>
        </w:rPr>
        <w:t xml:space="preserve"> einheitliche</w:t>
      </w:r>
      <w:r w:rsidRPr="00000125">
        <w:rPr>
          <w:rFonts w:asciiTheme="minorHAnsi" w:hAnsiTheme="minorHAnsi" w:cstheme="minorHAnsi"/>
        </w:rPr>
        <w:t xml:space="preserve"> Angebot an Wissensbeständen.</w:t>
      </w:r>
      <w:r w:rsidRPr="00000125">
        <w:rPr>
          <w:rFonts w:asciiTheme="minorHAnsi" w:hAnsiTheme="minorHAnsi" w:cstheme="minorHAnsi"/>
        </w:rPr>
        <w:br/>
        <w:t xml:space="preserve">Handlungsmöglichkeiten verweisen hierbei auf bereits manifestierte Handlungsabfolgen auf der Wikipedia. Sprich, wiederkehrende Muster, mit denen </w:t>
      </w:r>
      <w:r>
        <w:rPr>
          <w:rFonts w:asciiTheme="minorHAnsi" w:hAnsiTheme="minorHAnsi" w:cstheme="minorHAnsi"/>
        </w:rPr>
        <w:t>Handlungen</w:t>
      </w:r>
      <w:r w:rsidRPr="00000125">
        <w:rPr>
          <w:rFonts w:asciiTheme="minorHAnsi" w:hAnsiTheme="minorHAnsi" w:cstheme="minorHAnsi"/>
        </w:rPr>
        <w:t xml:space="preserve"> strukturiert </w:t>
      </w:r>
      <w:r>
        <w:rPr>
          <w:rFonts w:asciiTheme="minorHAnsi" w:hAnsiTheme="minorHAnsi" w:cstheme="minorHAnsi"/>
        </w:rPr>
        <w:t xml:space="preserve">und praktiziert </w:t>
      </w:r>
      <w:r w:rsidRPr="00000125">
        <w:rPr>
          <w:rFonts w:asciiTheme="minorHAnsi" w:hAnsiTheme="minorHAnsi" w:cstheme="minorHAnsi"/>
        </w:rPr>
        <w:t xml:space="preserve">werden. </w:t>
      </w:r>
      <w:r>
        <w:rPr>
          <w:rFonts w:asciiTheme="minorHAnsi" w:hAnsiTheme="minorHAnsi" w:cstheme="minorHAnsi"/>
        </w:rPr>
        <w:t>Handlungsmöglichkeiten und -praktiken</w:t>
      </w:r>
      <w:r w:rsidRPr="00000125">
        <w:rPr>
          <w:rFonts w:asciiTheme="minorHAnsi" w:hAnsiTheme="minorHAnsi" w:cstheme="minorHAnsi"/>
        </w:rPr>
        <w:t xml:space="preserve"> zeichnen sich durch unterschiedliche, aber mitunter wiederkehrende Handlungsbedingungen aus. Handlungsbedingungen sind die festgeschriebenen Richtlinien, Prinzipien</w:t>
      </w:r>
      <w:r>
        <w:rPr>
          <w:rFonts w:asciiTheme="minorHAnsi" w:hAnsiTheme="minorHAnsi" w:cstheme="minorHAnsi"/>
        </w:rPr>
        <w:t>, Techniken</w:t>
      </w:r>
      <w:r w:rsidRPr="00000125">
        <w:rPr>
          <w:rFonts w:asciiTheme="minorHAnsi" w:hAnsiTheme="minorHAnsi" w:cstheme="minorHAnsi"/>
        </w:rPr>
        <w:t xml:space="preserve"> und/oder Konventionen, welche die Handlungsmöglichkeiten legitimieren.</w:t>
      </w:r>
      <w:r w:rsidRPr="00000125">
        <w:rPr>
          <w:rFonts w:asciiTheme="minorHAnsi" w:hAnsiTheme="minorHAnsi" w:cstheme="minorHAnsi"/>
        </w:rPr>
        <w:br/>
        <w:t xml:space="preserve">Im Zusammenspiel von Handlungsmöglichkeiten und Handlungsbedingungen treten verschiedene Akteure auf, die durch unterschiedliche Strukturen legitimiert, Einfluss auf </w:t>
      </w:r>
      <w:r w:rsidR="002B66F6">
        <w:rPr>
          <w:rFonts w:asciiTheme="minorHAnsi" w:hAnsiTheme="minorHAnsi" w:cstheme="minorHAnsi"/>
        </w:rPr>
        <w:t>das von der Wikipedia repräsentierte Wissen</w:t>
      </w:r>
      <w:r w:rsidRPr="00000125">
        <w:rPr>
          <w:rFonts w:asciiTheme="minorHAnsi" w:hAnsiTheme="minorHAnsi" w:cstheme="minorHAnsi"/>
        </w:rPr>
        <w:t xml:space="preserve"> nehmen. Die Wikipedia</w:t>
      </w:r>
      <w:r w:rsidR="002B66F6">
        <w:rPr>
          <w:rFonts w:asciiTheme="minorHAnsi" w:hAnsiTheme="minorHAnsi" w:cstheme="minorHAnsi"/>
        </w:rPr>
        <w:t xml:space="preserve"> Foundation</w:t>
      </w:r>
      <w:r w:rsidRPr="00000125">
        <w:rPr>
          <w:rFonts w:asciiTheme="minorHAnsi" w:hAnsiTheme="minorHAnsi" w:cstheme="minorHAnsi"/>
        </w:rPr>
        <w:t xml:space="preserve"> als Organisation bildet hierbei einen Akteur auf Mesoebene, der über festgeschriebene Prinzipien und technische Zwänge </w:t>
      </w:r>
      <w:r w:rsidR="002B66F6">
        <w:rPr>
          <w:rFonts w:asciiTheme="minorHAnsi" w:hAnsiTheme="minorHAnsi" w:cstheme="minorHAnsi"/>
        </w:rPr>
        <w:t>Wissen formiert</w:t>
      </w:r>
      <w:r w:rsidRPr="00000125">
        <w:rPr>
          <w:rFonts w:asciiTheme="minorHAnsi" w:hAnsiTheme="minorHAnsi" w:cstheme="minorHAnsi"/>
        </w:rPr>
        <w:t>. Auch mikrosoziologische Akteure, wie verschiedene Benutzertypen auf der Wikipedia (z. B. Administratoren, Bürokraten, Stewards) wirken mit unterschiedlichen Einflussmöglichkeiten auf d</w:t>
      </w:r>
      <w:r w:rsidR="002B66F6">
        <w:rPr>
          <w:rFonts w:asciiTheme="minorHAnsi" w:hAnsiTheme="minorHAnsi" w:cstheme="minorHAnsi"/>
        </w:rPr>
        <w:t>as repräsentierte Wissen</w:t>
      </w:r>
      <w:r w:rsidRPr="00000125">
        <w:rPr>
          <w:rFonts w:asciiTheme="minorHAnsi" w:hAnsiTheme="minorHAnsi" w:cstheme="minorHAnsi"/>
        </w:rPr>
        <w:t xml:space="preserve">. Zwischen den Akteuren und Strukturen, die die </w:t>
      </w:r>
      <w:r w:rsidR="002B66F6">
        <w:rPr>
          <w:rFonts w:asciiTheme="minorHAnsi" w:hAnsiTheme="minorHAnsi" w:cstheme="minorHAnsi"/>
        </w:rPr>
        <w:t xml:space="preserve">Handlungen </w:t>
      </w:r>
      <w:r w:rsidRPr="00000125">
        <w:rPr>
          <w:rFonts w:asciiTheme="minorHAnsi" w:hAnsiTheme="minorHAnsi" w:cstheme="minorHAnsi"/>
        </w:rPr>
        <w:t xml:space="preserve">gestalten und unterlaufen, entsteht ein Kräfteverhältnis aus Handlungsmöglichkeiten und -bedingungen. Dieses Kräfteverhältnis kann im Anschluss an Foucault als produktive Macht verstanden werden. Diese Macht besteht aus </w:t>
      </w:r>
      <w:r w:rsidRPr="00000125">
        <w:rPr>
          <w:rFonts w:asciiTheme="minorHAnsi" w:hAnsiTheme="minorHAnsi" w:cstheme="minorHAnsi"/>
        </w:rPr>
        <w:lastRenderedPageBreak/>
        <w:t>„der Vielfältigkeit von Kräfteverhältnissen, die ein Gebiet bevölkern und organisieren; das Spiel das in unaufhörlichen Kämpfen und Auseinandersetzungen diese Kraftverhältnisse verwandelt, verstärkt, verkehrt; die Stützen, die diese Kraftverhältnisse aneinander finden, indem sie sich zu Systemen verketten – oder die Verschiebungen und Widersprüche, die sie gegeneinander isolieren.“ (</w:t>
      </w:r>
      <w:r>
        <w:rPr>
          <w:rFonts w:asciiTheme="minorHAnsi" w:hAnsiTheme="minorHAnsi" w:cstheme="minorHAnsi"/>
        </w:rPr>
        <w:t>Foucault 1983, S. 113f.</w:t>
      </w:r>
      <w:r w:rsidRPr="00000125">
        <w:rPr>
          <w:rFonts w:asciiTheme="minorHAnsi" w:hAnsiTheme="minorHAnsi" w:cstheme="minorHAnsi"/>
        </w:rPr>
        <w:t xml:space="preserve">). Diese Macht wirkt nun nicht mehr einschränkend oder repressiv, sondern durchaus produktiv in zweifachen Sinn. Zum einen positioniert sie Akteure und Strukturen in Beziehung zueinander und zum andern wirkt sie an der Generierung und Prozessierung von Wissen mit. </w:t>
      </w:r>
      <w:r w:rsidR="002B66F6">
        <w:rPr>
          <w:rFonts w:asciiTheme="minorHAnsi" w:hAnsiTheme="minorHAnsi" w:cstheme="minorHAnsi"/>
        </w:rPr>
        <w:t>Die Wikipedia</w:t>
      </w:r>
      <w:r w:rsidRPr="00000125">
        <w:rPr>
          <w:rFonts w:asciiTheme="minorHAnsi" w:hAnsiTheme="minorHAnsi" w:cstheme="minorHAnsi"/>
        </w:rPr>
        <w:t xml:space="preserve"> verfüg</w:t>
      </w:r>
      <w:r w:rsidR="002B66F6">
        <w:rPr>
          <w:rFonts w:asciiTheme="minorHAnsi" w:hAnsiTheme="minorHAnsi" w:cstheme="minorHAnsi"/>
        </w:rPr>
        <w:t>t</w:t>
      </w:r>
      <w:r w:rsidRPr="00000125">
        <w:rPr>
          <w:rFonts w:asciiTheme="minorHAnsi" w:hAnsiTheme="minorHAnsi" w:cstheme="minorHAnsi"/>
        </w:rPr>
        <w:t xml:space="preserve"> somit über eine Macht am Wissen, welche als eine historisch und medial spezifische </w:t>
      </w:r>
      <w:r>
        <w:rPr>
          <w:rFonts w:asciiTheme="minorHAnsi" w:hAnsiTheme="minorHAnsi" w:cstheme="minorHAnsi"/>
        </w:rPr>
        <w:t>Disposition</w:t>
      </w:r>
      <w:r w:rsidRPr="00000125">
        <w:rPr>
          <w:rFonts w:asciiTheme="minorHAnsi" w:hAnsiTheme="minorHAnsi" w:cstheme="minorHAnsi"/>
        </w:rPr>
        <w:t xml:space="preserve"> von Akteuren und Strukturen </w:t>
      </w:r>
      <w:r>
        <w:rPr>
          <w:rFonts w:asciiTheme="minorHAnsi" w:hAnsiTheme="minorHAnsi" w:cstheme="minorHAnsi"/>
        </w:rPr>
        <w:t>verstanden werden kann.</w:t>
      </w:r>
    </w:p>
    <w:p w14:paraId="53D417C5" w14:textId="3A90F713" w:rsidR="00C211BA" w:rsidRPr="00000125" w:rsidRDefault="00C211BA" w:rsidP="00C211BA">
      <w:pPr>
        <w:pStyle w:val="AbsatzAufzhlung"/>
        <w:ind w:left="0"/>
        <w:rPr>
          <w:rFonts w:asciiTheme="minorHAnsi" w:hAnsiTheme="minorHAnsi" w:cstheme="minorHAnsi"/>
        </w:rPr>
      </w:pPr>
      <w:r w:rsidRPr="00000125">
        <w:rPr>
          <w:rFonts w:asciiTheme="minorHAnsi" w:hAnsiTheme="minorHAnsi" w:cstheme="minorHAnsi"/>
        </w:rPr>
        <w:t xml:space="preserve">Dieser Beitrag zielt auf die Skizzierung dieser produktiven Macht auf der Wikipedia ab. Der Beitrag möchte jedoch nicht auf einer soziologischen Deskription verweilen, sondern mit dem Konzept der Medienkompetenz, eine pädagogische </w:t>
      </w:r>
      <w:r>
        <w:rPr>
          <w:rFonts w:asciiTheme="minorHAnsi" w:hAnsiTheme="minorHAnsi" w:cstheme="minorHAnsi"/>
        </w:rPr>
        <w:t>Folgerung diskutieren</w:t>
      </w:r>
      <w:r w:rsidRPr="00000125">
        <w:rPr>
          <w:rFonts w:asciiTheme="minorHAnsi" w:hAnsiTheme="minorHAnsi" w:cstheme="minorHAnsi"/>
        </w:rPr>
        <w:t xml:space="preserve">. Für das Konzept der Medienkompetenz </w:t>
      </w:r>
      <w:r w:rsidR="002B66F6">
        <w:rPr>
          <w:rFonts w:asciiTheme="minorHAnsi" w:hAnsiTheme="minorHAnsi" w:cstheme="minorHAnsi"/>
        </w:rPr>
        <w:t>ist die produktive Macht</w:t>
      </w:r>
      <w:r w:rsidRPr="00000125">
        <w:rPr>
          <w:rFonts w:asciiTheme="minorHAnsi" w:hAnsiTheme="minorHAnsi" w:cstheme="minorHAnsi"/>
        </w:rPr>
        <w:t xml:space="preserve"> von doppelter Bedeutung. </w:t>
      </w:r>
      <w:r w:rsidRPr="00000125">
        <w:rPr>
          <w:rFonts w:asciiTheme="minorHAnsi" w:hAnsiTheme="minorHAnsi" w:cstheme="minorHAnsi"/>
        </w:rPr>
        <w:br/>
        <w:t xml:space="preserve">Erstens werden über diese Möglichkeiten der Partizipation ausgehandelt. </w:t>
      </w:r>
      <w:r>
        <w:rPr>
          <w:rFonts w:asciiTheme="minorHAnsi" w:hAnsiTheme="minorHAnsi" w:cstheme="minorHAnsi"/>
        </w:rPr>
        <w:br/>
      </w:r>
      <w:r w:rsidRPr="00000125">
        <w:rPr>
          <w:rFonts w:asciiTheme="minorHAnsi" w:hAnsiTheme="minorHAnsi" w:cstheme="minorHAnsi"/>
        </w:rPr>
        <w:t xml:space="preserve">Zweitens </w:t>
      </w:r>
      <w:r w:rsidR="002B66F6">
        <w:rPr>
          <w:rFonts w:asciiTheme="minorHAnsi" w:hAnsiTheme="minorHAnsi" w:cstheme="minorHAnsi"/>
        </w:rPr>
        <w:t>hat das von Wikipedia repräsentierte Wissen einen enormen Stellenwert</w:t>
      </w:r>
      <w:r w:rsidRPr="00000125">
        <w:rPr>
          <w:rFonts w:asciiTheme="minorHAnsi" w:hAnsiTheme="minorHAnsi" w:cstheme="minorHAnsi"/>
        </w:rPr>
        <w:t xml:space="preserve"> </w:t>
      </w:r>
      <w:r w:rsidR="002B66F6">
        <w:rPr>
          <w:rFonts w:asciiTheme="minorHAnsi" w:hAnsiTheme="minorHAnsi" w:cstheme="minorHAnsi"/>
        </w:rPr>
        <w:t xml:space="preserve">für </w:t>
      </w:r>
      <w:r>
        <w:rPr>
          <w:rFonts w:asciiTheme="minorHAnsi" w:hAnsiTheme="minorHAnsi" w:cstheme="minorHAnsi"/>
        </w:rPr>
        <w:t>die</w:t>
      </w:r>
      <w:r w:rsidR="002B66F6">
        <w:rPr>
          <w:rFonts w:asciiTheme="minorHAnsi" w:hAnsiTheme="minorHAnsi" w:cstheme="minorHAnsi"/>
        </w:rPr>
        <w:t xml:space="preserve"> informelle </w:t>
      </w:r>
      <w:r>
        <w:rPr>
          <w:rFonts w:asciiTheme="minorHAnsi" w:hAnsiTheme="minorHAnsi" w:cstheme="minorHAnsi"/>
        </w:rPr>
        <w:t xml:space="preserve">Aneignung von Wissen. </w:t>
      </w:r>
      <w:r w:rsidRPr="00000125">
        <w:rPr>
          <w:rFonts w:asciiTheme="minorHAnsi" w:hAnsiTheme="minorHAnsi" w:cstheme="minorHAnsi"/>
        </w:rPr>
        <w:t xml:space="preserve"> Das Konzept der Medienkompetenz kann inhaltlich beide Aspekte vereinen, müsste sich dafür aber von seinem idealistischen </w:t>
      </w:r>
      <w:r>
        <w:rPr>
          <w:rFonts w:asciiTheme="minorHAnsi" w:hAnsiTheme="minorHAnsi" w:cstheme="minorHAnsi"/>
        </w:rPr>
        <w:t xml:space="preserve">(vgl. </w:t>
      </w:r>
      <w:proofErr w:type="spellStart"/>
      <w:r>
        <w:rPr>
          <w:rFonts w:asciiTheme="minorHAnsi" w:hAnsiTheme="minorHAnsi" w:cstheme="minorHAnsi"/>
        </w:rPr>
        <w:t>Gapski</w:t>
      </w:r>
      <w:proofErr w:type="spellEnd"/>
      <w:r>
        <w:rPr>
          <w:rFonts w:asciiTheme="minorHAnsi" w:hAnsiTheme="minorHAnsi" w:cstheme="minorHAnsi"/>
        </w:rPr>
        <w:t xml:space="preserve"> 2001) </w:t>
      </w:r>
      <w:r w:rsidRPr="00000125">
        <w:rPr>
          <w:rFonts w:asciiTheme="minorHAnsi" w:hAnsiTheme="minorHAnsi" w:cstheme="minorHAnsi"/>
        </w:rPr>
        <w:t>und subjektspezifischen</w:t>
      </w:r>
      <w:r>
        <w:rPr>
          <w:rFonts w:asciiTheme="minorHAnsi" w:hAnsiTheme="minorHAnsi" w:cstheme="minorHAnsi"/>
        </w:rPr>
        <w:t xml:space="preserve"> (vgl. Baacke 1998)</w:t>
      </w:r>
      <w:r w:rsidRPr="00000125">
        <w:rPr>
          <w:rFonts w:asciiTheme="minorHAnsi" w:hAnsiTheme="minorHAnsi" w:cstheme="minorHAnsi"/>
        </w:rPr>
        <w:t xml:space="preserve"> Impetus lösen, um hin zu einer gegenständlichen Verflechtung von Akteuren, Strukturen und Plattform zu gelangen.</w:t>
      </w:r>
    </w:p>
    <w:p w14:paraId="46BB2978" w14:textId="11C74965" w:rsidR="00C211BA" w:rsidRPr="00C211BA" w:rsidRDefault="00C211BA" w:rsidP="00C211BA">
      <w:pPr>
        <w:pStyle w:val="AbsatzAufzhlung"/>
        <w:ind w:left="0"/>
        <w:rPr>
          <w:rFonts w:asciiTheme="minorHAnsi" w:hAnsiTheme="minorHAnsi" w:cstheme="minorHAnsi"/>
        </w:rPr>
      </w:pPr>
      <w:r w:rsidRPr="00000125">
        <w:rPr>
          <w:rFonts w:asciiTheme="minorHAnsi" w:hAnsiTheme="minorHAnsi" w:cstheme="minorHAnsi"/>
        </w:rPr>
        <w:t>Der Beitrag wird über den Machtbegriff hinausgehend bei der Unterscheidung von Handlungsmöglichkeiten und -bedingungen auf das sozialwissenschaftliche Dispositivverständnis zurückgreifen (vgl. Bührmann/Schneider 2012; Gemkow 2017). Für das Konzept der Medienkompetenz wird an die in der Medienpädagogik aktuelle Debatte um eine Neuakzentuierung des Konzeptes angeschlossen</w:t>
      </w:r>
      <w:r>
        <w:rPr>
          <w:rFonts w:asciiTheme="minorHAnsi" w:hAnsiTheme="minorHAnsi" w:cstheme="minorHAnsi"/>
        </w:rPr>
        <w:t xml:space="preserve"> (vgl. Zorn 2011; Schiefner-Rohs 2012; Walden 2017; Bettinger/Aßmann 2017).</w:t>
      </w:r>
    </w:p>
    <w:bookmarkEnd w:id="0"/>
    <w:p w14:paraId="25198A7A" w14:textId="77777777" w:rsidR="003A7E1A" w:rsidRDefault="003A7E1A" w:rsidP="0002754E">
      <w:pPr>
        <w:jc w:val="both"/>
        <w:rPr>
          <w:b/>
        </w:rPr>
      </w:pPr>
      <w:r w:rsidRPr="003A7E1A">
        <w:rPr>
          <w:b/>
        </w:rPr>
        <w:t>Literatur</w:t>
      </w:r>
    </w:p>
    <w:p w14:paraId="4465ED71" w14:textId="72D4C6A1" w:rsidR="008D359F" w:rsidRDefault="008D359F" w:rsidP="008D359F">
      <w:pPr>
        <w:ind w:left="142" w:hanging="142"/>
      </w:pPr>
      <w:r w:rsidRPr="008D359F">
        <w:t>Baacke, D. (1998). Zum Konzept der Operationalisierung von Medienkompetenz. http://www.produktive-medienarbeit.de/ressourcen/bibliothek/fachartikel/baacke_operationalisierung.shtml. Zugegriffen 20.06.2018.</w:t>
      </w:r>
    </w:p>
    <w:p w14:paraId="4EB29A91" w14:textId="1D214A00" w:rsidR="008D359F" w:rsidRDefault="008D359F" w:rsidP="008D359F">
      <w:pPr>
        <w:ind w:left="142" w:hanging="142"/>
      </w:pPr>
      <w:r w:rsidRPr="008D359F">
        <w:t>Bettinger, Patrick/Aßmann, Sandra (2017). Das diskursive Feld um Mediatisierung und Mediensozialisation. Eine Analyse deutschsprachiger Fachzeitschriften. In: Hoffmann, Dagmar/ Krotz, Friedrich/</w:t>
      </w:r>
      <w:proofErr w:type="spellStart"/>
      <w:r w:rsidRPr="008D359F">
        <w:t>Reißmann</w:t>
      </w:r>
      <w:proofErr w:type="spellEnd"/>
      <w:r w:rsidRPr="008D359F">
        <w:t>, Wolfgang (Hrsg.), Mediatisierung und Mediensozialisation. Prozesse - Räume – Praktiken. Wiesbaden: Springer VS, S. 79–100.</w:t>
      </w:r>
    </w:p>
    <w:p w14:paraId="2120A177" w14:textId="34FBA348" w:rsidR="008D359F" w:rsidRDefault="008D359F" w:rsidP="008D359F">
      <w:pPr>
        <w:ind w:left="142" w:hanging="142"/>
      </w:pPr>
      <w:r w:rsidRPr="008D359F">
        <w:t>Foucault, Michel (</w:t>
      </w:r>
      <w:r>
        <w:t>1983</w:t>
      </w:r>
      <w:r w:rsidRPr="008D359F">
        <w:t>). Der Wille zum Wissen. Sexualität und Wahrheit I. Frankfurt am Main</w:t>
      </w:r>
      <w:r>
        <w:t>: Suhrkamp</w:t>
      </w:r>
    </w:p>
    <w:p w14:paraId="38C04C11" w14:textId="46263B28" w:rsidR="008D359F" w:rsidRDefault="008D359F" w:rsidP="008D359F">
      <w:pPr>
        <w:ind w:left="142" w:hanging="142"/>
      </w:pPr>
      <w:proofErr w:type="spellStart"/>
      <w:r w:rsidRPr="008D359F">
        <w:t>Gapski</w:t>
      </w:r>
      <w:proofErr w:type="spellEnd"/>
      <w:r w:rsidRPr="008D359F">
        <w:t>, Harald (2001). Medienkompetenz. Eine Bestandsaufnahme und Vorüberlegungen zu einem systemtheoretischen Rahmenkonzept. Wiesbaden: Westdt. Verl.</w:t>
      </w:r>
    </w:p>
    <w:p w14:paraId="43B855E8" w14:textId="1BE42FE3" w:rsidR="008D359F" w:rsidRDefault="008D359F" w:rsidP="008D359F">
      <w:pPr>
        <w:ind w:left="142" w:hanging="142"/>
      </w:pPr>
      <w:r w:rsidRPr="008D359F">
        <w:t xml:space="preserve">Gemkow, J. (2017). Medienkompetenz und die Mediatisierung des Wissens. Zum Potenzial der Dispositivanalyse am Beispiel mediatisierter Wissensbestände. </w:t>
      </w:r>
      <w:proofErr w:type="spellStart"/>
      <w:r w:rsidRPr="008D359F">
        <w:t>merzWissenschaft</w:t>
      </w:r>
      <w:proofErr w:type="spellEnd"/>
      <w:r w:rsidRPr="008D359F">
        <w:t xml:space="preserve"> 2017 61 (6), 18–29.</w:t>
      </w:r>
    </w:p>
    <w:p w14:paraId="6F61421F" w14:textId="764E3D9B" w:rsidR="008D359F" w:rsidRDefault="008D359F" w:rsidP="008D359F">
      <w:pPr>
        <w:ind w:left="142" w:hanging="142"/>
      </w:pPr>
      <w:r w:rsidRPr="008D359F">
        <w:lastRenderedPageBreak/>
        <w:t>Schiefner-Rohs, M. (2012). Kritische Informations- und Medienkompetenz. Theoretisch-konzeptionelle Herleitung und empirische Betrachtungen am Beispiel der Lehrerausbildung (Internationale Hochschulschriften, Bd. 566). Münster: Waxmann</w:t>
      </w:r>
      <w:r>
        <w:t>.</w:t>
      </w:r>
    </w:p>
    <w:p w14:paraId="329E5D68" w14:textId="77EBD849" w:rsidR="008D359F" w:rsidRDefault="008D359F" w:rsidP="008D359F">
      <w:pPr>
        <w:ind w:left="142" w:hanging="142"/>
      </w:pPr>
      <w:r w:rsidRPr="008D359F">
        <w:t>Wikipedia (2019a). Größenvergleich https://de.wikipedia.org/wiki/Wikipedia:Gr%C3%B6%C3%9Fenvergleich [Zugriff: 01.0</w:t>
      </w:r>
      <w:r>
        <w:t>8</w:t>
      </w:r>
      <w:r w:rsidRPr="008D359F">
        <w:t>.2019]</w:t>
      </w:r>
    </w:p>
    <w:p w14:paraId="5D54E882" w14:textId="4BCBA455" w:rsidR="008D359F" w:rsidRPr="005946BF" w:rsidRDefault="008D359F" w:rsidP="008D359F">
      <w:pPr>
        <w:ind w:left="142" w:hanging="142"/>
      </w:pPr>
      <w:r w:rsidRPr="005946BF">
        <w:t xml:space="preserve">Wikipedia (2019b). Page Views </w:t>
      </w:r>
      <w:proofErr w:type="spellStart"/>
      <w:r w:rsidRPr="005946BF">
        <w:t>for</w:t>
      </w:r>
      <w:proofErr w:type="spellEnd"/>
      <w:r w:rsidRPr="005946BF">
        <w:t xml:space="preserve"> Wikipedia. https://stats.wikimedia.org/EN_Europe/TablesPageViewsMonthlyCombined.htm [Zugriff: 01.08.2019]</w:t>
      </w:r>
    </w:p>
    <w:p w14:paraId="7C8A9389" w14:textId="5BE9A649" w:rsidR="008D359F" w:rsidRDefault="008D359F" w:rsidP="008D359F">
      <w:pPr>
        <w:ind w:left="142" w:hanging="142"/>
      </w:pPr>
      <w:r w:rsidRPr="008D359F">
        <w:t xml:space="preserve">Zorn, I. (2011). Medienkompetenz und Medienbildung mit Fokus auf Digitale Medi-en. In H. Moser, P. Grell &amp; H. </w:t>
      </w:r>
      <w:proofErr w:type="spellStart"/>
      <w:r w:rsidRPr="008D359F">
        <w:t>Niesyto</w:t>
      </w:r>
      <w:proofErr w:type="spellEnd"/>
      <w:r w:rsidRPr="008D359F">
        <w:t xml:space="preserve"> (Hrsg.), Medienbildung und Medienkompetenz. Beiträge zu Schlüsselbegriffen der Medienpädagogik (S. 175–209). München: kopaed.</w:t>
      </w:r>
    </w:p>
    <w:sectPr w:rsidR="008D359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D6B"/>
    <w:rsid w:val="0002754E"/>
    <w:rsid w:val="000A6170"/>
    <w:rsid w:val="00165882"/>
    <w:rsid w:val="00251F33"/>
    <w:rsid w:val="002711D9"/>
    <w:rsid w:val="002B66F6"/>
    <w:rsid w:val="0035678F"/>
    <w:rsid w:val="003A7E1A"/>
    <w:rsid w:val="003C00FD"/>
    <w:rsid w:val="0051229C"/>
    <w:rsid w:val="005946BF"/>
    <w:rsid w:val="005D6E87"/>
    <w:rsid w:val="005F6302"/>
    <w:rsid w:val="00607EFD"/>
    <w:rsid w:val="006804C2"/>
    <w:rsid w:val="00852295"/>
    <w:rsid w:val="00853203"/>
    <w:rsid w:val="008D359F"/>
    <w:rsid w:val="0099161C"/>
    <w:rsid w:val="00A65383"/>
    <w:rsid w:val="00AF0D6B"/>
    <w:rsid w:val="00C211BA"/>
    <w:rsid w:val="00CD7CD3"/>
    <w:rsid w:val="00DD0FE4"/>
    <w:rsid w:val="00DD45A8"/>
    <w:rsid w:val="00E160BF"/>
    <w:rsid w:val="00F1550F"/>
    <w:rsid w:val="00FB43B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9390C"/>
  <w15:chartTrackingRefBased/>
  <w15:docId w15:val="{6D700623-2C91-4D28-96E1-3E2BBBC35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9161C"/>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9161C"/>
    <w:rPr>
      <w:rFonts w:asciiTheme="majorHAnsi" w:eastAsiaTheme="majorEastAsia" w:hAnsiTheme="majorHAnsi" w:cstheme="majorBidi"/>
      <w:b/>
      <w:bCs/>
      <w:color w:val="2F5496" w:themeColor="accent1" w:themeShade="BF"/>
      <w:sz w:val="28"/>
      <w:szCs w:val="28"/>
    </w:rPr>
  </w:style>
  <w:style w:type="paragraph" w:customStyle="1" w:styleId="AbsatzAufzhlung">
    <w:name w:val="Absatz Aufzählung"/>
    <w:basedOn w:val="Standard"/>
    <w:rsid w:val="00165882"/>
    <w:pPr>
      <w:spacing w:after="240" w:line="300" w:lineRule="exact"/>
      <w:ind w:left="357"/>
      <w:jc w:val="both"/>
    </w:pPr>
    <w:rPr>
      <w:rFonts w:ascii="Times New Roman" w:eastAsia="Times New Roman" w:hAnsi="Times New Roman" w:cs="Arial"/>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1400</Words>
  <Characters>8826</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J.Gemkow</dc:creator>
  <cp:keywords/>
  <dc:description/>
  <cp:lastModifiedBy>J.Gemkow</cp:lastModifiedBy>
  <cp:revision>2</cp:revision>
  <cp:lastPrinted>2018-06-19T10:46:00Z</cp:lastPrinted>
  <dcterms:created xsi:type="dcterms:W3CDTF">2019-08-08T09:29:00Z</dcterms:created>
  <dcterms:modified xsi:type="dcterms:W3CDTF">2019-08-08T09:29:00Z</dcterms:modified>
</cp:coreProperties>
</file>