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65A75C" w14:textId="77777777" w:rsidR="00DA551B" w:rsidRPr="00BE6B00" w:rsidRDefault="00DA551B" w:rsidP="003D0838">
      <w:pPr>
        <w:spacing w:after="0" w:line="360" w:lineRule="auto"/>
        <w:jc w:val="center"/>
        <w:rPr>
          <w:rFonts w:cstheme="minorHAnsi"/>
          <w:b/>
          <w:lang w:val="en-US"/>
        </w:rPr>
      </w:pPr>
    </w:p>
    <w:p w14:paraId="46D23516" w14:textId="77777777" w:rsidR="00DA551B" w:rsidRPr="00BE6B00" w:rsidRDefault="00884405" w:rsidP="003D0838">
      <w:pPr>
        <w:spacing w:after="0" w:line="360" w:lineRule="auto"/>
        <w:jc w:val="center"/>
        <w:rPr>
          <w:rFonts w:cstheme="minorHAnsi"/>
          <w:b/>
          <w:lang w:val="en-US"/>
        </w:rPr>
      </w:pPr>
      <w:r w:rsidRPr="00BE6B00">
        <w:rPr>
          <w:rFonts w:cstheme="minorHAnsi"/>
          <w:b/>
          <w:lang w:val="en-US"/>
        </w:rPr>
        <w:t xml:space="preserve">Panel suggestion for Third Annual </w:t>
      </w:r>
      <w:proofErr w:type="spellStart"/>
      <w:r w:rsidRPr="00BE6B00">
        <w:rPr>
          <w:rFonts w:cstheme="minorHAnsi"/>
          <w:b/>
          <w:lang w:val="en-US"/>
        </w:rPr>
        <w:t>KriKowi</w:t>
      </w:r>
      <w:proofErr w:type="spellEnd"/>
      <w:r w:rsidRPr="00BE6B00">
        <w:rPr>
          <w:rFonts w:cstheme="minorHAnsi"/>
          <w:b/>
          <w:lang w:val="en-US"/>
        </w:rPr>
        <w:t xml:space="preserve"> Conference</w:t>
      </w:r>
    </w:p>
    <w:p w14:paraId="094B5D78" w14:textId="77777777" w:rsidR="007B2DC7" w:rsidRPr="00F20772" w:rsidRDefault="007B2DC7" w:rsidP="003D0838">
      <w:pPr>
        <w:spacing w:after="0" w:line="360" w:lineRule="auto"/>
        <w:jc w:val="center"/>
        <w:rPr>
          <w:rFonts w:cstheme="minorHAnsi"/>
          <w:b/>
          <w:sz w:val="28"/>
          <w:szCs w:val="28"/>
          <w:lang w:val="en-US"/>
        </w:rPr>
      </w:pPr>
      <w:r w:rsidRPr="00F20772">
        <w:rPr>
          <w:rFonts w:cstheme="minorHAnsi"/>
          <w:b/>
          <w:sz w:val="28"/>
          <w:szCs w:val="28"/>
          <w:lang w:val="en-US"/>
        </w:rPr>
        <w:t>Media, Injustices &amp; Exclusion – international perspectives</w:t>
      </w:r>
    </w:p>
    <w:p w14:paraId="2B4D7B38" w14:textId="54C0A9C3" w:rsidR="00715E61" w:rsidRPr="00BE6B00" w:rsidRDefault="00715E61" w:rsidP="003D0838">
      <w:pPr>
        <w:spacing w:after="0" w:line="360" w:lineRule="auto"/>
        <w:jc w:val="both"/>
        <w:rPr>
          <w:rFonts w:cstheme="minorHAnsi"/>
          <w:bCs/>
          <w:lang w:val="en-US"/>
        </w:rPr>
      </w:pPr>
      <w:r w:rsidRPr="00BE6B00">
        <w:rPr>
          <w:rFonts w:cstheme="minorHAnsi"/>
          <w:bCs/>
          <w:lang w:val="en-US"/>
        </w:rPr>
        <w:t xml:space="preserve">We live in a world </w:t>
      </w:r>
      <w:r w:rsidR="00D513C3" w:rsidRPr="00BE6B00">
        <w:rPr>
          <w:rFonts w:cstheme="minorHAnsi"/>
          <w:bCs/>
          <w:lang w:val="en-US"/>
        </w:rPr>
        <w:t xml:space="preserve">characterized </w:t>
      </w:r>
      <w:r w:rsidRPr="00BE6B00">
        <w:rPr>
          <w:rFonts w:cstheme="minorHAnsi"/>
          <w:bCs/>
          <w:lang w:val="en-US"/>
        </w:rPr>
        <w:t xml:space="preserve">by great upheavals and transformation, where media is highly relevant for political, social and cultural processes. Our globe is marked by </w:t>
      </w:r>
      <w:r w:rsidR="00D513C3" w:rsidRPr="00BE6B00">
        <w:rPr>
          <w:rFonts w:cstheme="minorHAnsi"/>
          <w:bCs/>
          <w:lang w:val="en-US"/>
        </w:rPr>
        <w:t>massive</w:t>
      </w:r>
      <w:r w:rsidRPr="00BE6B00">
        <w:rPr>
          <w:rFonts w:cstheme="minorHAnsi"/>
          <w:bCs/>
          <w:lang w:val="en-US"/>
        </w:rPr>
        <w:t xml:space="preserve"> injustices and marginalization. Media, in their political and technological constitution can shape counter-discourses or expand public spheres. </w:t>
      </w:r>
      <w:r w:rsidR="00D513C3" w:rsidRPr="00BE6B00">
        <w:rPr>
          <w:rFonts w:cstheme="minorHAnsi"/>
          <w:bCs/>
          <w:lang w:val="en-US"/>
        </w:rPr>
        <w:t xml:space="preserve">Beyond </w:t>
      </w:r>
      <w:r w:rsidR="00F20772" w:rsidRPr="00BE6B00">
        <w:rPr>
          <w:rFonts w:cstheme="minorHAnsi"/>
          <w:bCs/>
          <w:lang w:val="en-US"/>
        </w:rPr>
        <w:t>deterministic and</w:t>
      </w:r>
      <w:r w:rsidR="00D513C3" w:rsidRPr="00BE6B00">
        <w:rPr>
          <w:rFonts w:cstheme="minorHAnsi"/>
          <w:bCs/>
          <w:lang w:val="en-US"/>
        </w:rPr>
        <w:t xml:space="preserve"> linear constructions, t</w:t>
      </w:r>
      <w:r w:rsidRPr="00BE6B00">
        <w:rPr>
          <w:rFonts w:cstheme="minorHAnsi"/>
          <w:bCs/>
          <w:lang w:val="en-US"/>
        </w:rPr>
        <w:t xml:space="preserve">his panel has -despite the different angle each paper takes- a central underlying question: it investigates how media can reconstruct injustices, marginalization and push counter-discourses that advance freedom in Germany, </w:t>
      </w:r>
      <w:r w:rsidR="00422612" w:rsidRPr="00BE6B00">
        <w:rPr>
          <w:rFonts w:cstheme="minorHAnsi"/>
          <w:bCs/>
          <w:lang w:val="en-US"/>
        </w:rPr>
        <w:t>Kurdistan</w:t>
      </w:r>
      <w:r w:rsidRPr="00BE6B00">
        <w:rPr>
          <w:rFonts w:cstheme="minorHAnsi"/>
          <w:bCs/>
          <w:lang w:val="en-US"/>
        </w:rPr>
        <w:t xml:space="preserve"> and Egypt. Building on the transformative and dynamic media landscape</w:t>
      </w:r>
      <w:r w:rsidR="00F20772">
        <w:rPr>
          <w:rFonts w:cstheme="minorHAnsi"/>
          <w:bCs/>
          <w:lang w:val="en-US"/>
        </w:rPr>
        <w:t xml:space="preserve"> negotiations between media and their political and cultural surroundings are studied.</w:t>
      </w:r>
      <w:r w:rsidRPr="00BE6B00">
        <w:rPr>
          <w:rFonts w:cstheme="minorHAnsi"/>
          <w:bCs/>
          <w:lang w:val="en-US"/>
        </w:rPr>
        <w:t xml:space="preserve"> </w:t>
      </w:r>
      <w:r w:rsidR="00F20772">
        <w:rPr>
          <w:rFonts w:cstheme="minorHAnsi"/>
          <w:bCs/>
          <w:lang w:val="en-US"/>
        </w:rPr>
        <w:t>Based</w:t>
      </w:r>
      <w:r w:rsidRPr="00BE6B00">
        <w:rPr>
          <w:rFonts w:cstheme="minorHAnsi"/>
          <w:bCs/>
          <w:lang w:val="en-US"/>
        </w:rPr>
        <w:t xml:space="preserve"> on authentic voices and diverse backgrounds the three papers give contextualized and nuanced analysis from different national contexts to see how media, in their diverse formats, counters injustices and demands inclusion for marginalized groups.</w:t>
      </w:r>
    </w:p>
    <w:p w14:paraId="567CD6C7" w14:textId="77777777" w:rsidR="00715E61" w:rsidRPr="00BE6B00" w:rsidRDefault="00715E61" w:rsidP="003D0838">
      <w:pPr>
        <w:spacing w:after="0" w:line="360" w:lineRule="auto"/>
        <w:jc w:val="both"/>
        <w:rPr>
          <w:rFonts w:cstheme="minorHAnsi"/>
          <w:bCs/>
          <w:lang w:val="en-US"/>
        </w:rPr>
      </w:pPr>
      <w:r w:rsidRPr="00BE6B00">
        <w:rPr>
          <w:rFonts w:cstheme="minorHAnsi"/>
          <w:bCs/>
          <w:lang w:val="en-US"/>
        </w:rPr>
        <w:t xml:space="preserve">The panel seeks to de-westernize knowledge production in the German field of media and communication studies. </w:t>
      </w:r>
    </w:p>
    <w:p w14:paraId="0E487C6B" w14:textId="77777777" w:rsidR="00B25A6A" w:rsidRPr="00BE6B00" w:rsidRDefault="00B25A6A" w:rsidP="003D0838">
      <w:pPr>
        <w:spacing w:after="0" w:line="360" w:lineRule="auto"/>
        <w:rPr>
          <w:rFonts w:cstheme="minorHAnsi"/>
          <w:bCs/>
          <w:lang w:val="en-US"/>
        </w:rPr>
      </w:pPr>
    </w:p>
    <w:p w14:paraId="08CBA0AF" w14:textId="72577719" w:rsidR="009F755D" w:rsidRPr="00BE6B00" w:rsidRDefault="00B25A6A" w:rsidP="009F755D">
      <w:pPr>
        <w:spacing w:after="0" w:line="360" w:lineRule="auto"/>
        <w:rPr>
          <w:rFonts w:cstheme="minorHAnsi"/>
          <w:b/>
        </w:rPr>
      </w:pPr>
      <w:r w:rsidRPr="00BE6B00">
        <w:rPr>
          <w:rFonts w:cstheme="minorHAnsi"/>
          <w:b/>
        </w:rPr>
        <w:t xml:space="preserve">Paper 1: </w:t>
      </w:r>
    </w:p>
    <w:p w14:paraId="35C11D30" w14:textId="06B5D57C" w:rsidR="009F755D" w:rsidRPr="00BE6B00" w:rsidRDefault="009F755D" w:rsidP="009F755D">
      <w:pPr>
        <w:spacing w:after="0" w:line="360" w:lineRule="auto"/>
        <w:rPr>
          <w:rFonts w:cstheme="minorHAnsi"/>
          <w:b/>
          <w:bCs/>
          <w:color w:val="000000" w:themeColor="text1"/>
        </w:rPr>
      </w:pPr>
      <w:r w:rsidRPr="00BE6B00">
        <w:rPr>
          <w:rFonts w:cstheme="minorHAnsi"/>
          <w:b/>
          <w:bCs/>
          <w:color w:val="000000" w:themeColor="text1"/>
        </w:rPr>
        <w:t>Kurdische Medien und gesellschaftliche Transformation in Nordsyrien</w:t>
      </w:r>
    </w:p>
    <w:p w14:paraId="52B7343C" w14:textId="5F51BC1D" w:rsidR="009F755D" w:rsidRPr="00BE6B00" w:rsidRDefault="009F755D" w:rsidP="009F755D">
      <w:pPr>
        <w:rPr>
          <w:rFonts w:eastAsia="Times New Roman" w:cstheme="minorHAnsi"/>
          <w:b/>
          <w:bCs/>
          <w:color w:val="1C8491"/>
          <w:lang w:eastAsia="de-DE"/>
        </w:rPr>
      </w:pPr>
      <w:r w:rsidRPr="00BE6B00">
        <w:rPr>
          <w:rFonts w:eastAsia="Times New Roman" w:cstheme="minorHAnsi"/>
          <w:b/>
          <w:bCs/>
          <w:color w:val="000000" w:themeColor="text1"/>
          <w:lang w:eastAsia="de-DE"/>
        </w:rPr>
        <w:t>Kerem Schamberger</w:t>
      </w:r>
      <w:r w:rsidRPr="00BE6B00">
        <w:rPr>
          <w:rFonts w:eastAsia="Times New Roman" w:cstheme="minorHAnsi"/>
          <w:lang w:eastAsia="de-DE"/>
        </w:rPr>
        <w:br/>
        <w:t>Ludwig-Maximilians-Universität München</w:t>
      </w:r>
      <w:r w:rsidRPr="00BE6B00">
        <w:rPr>
          <w:rFonts w:eastAsia="Times New Roman" w:cstheme="minorHAnsi"/>
          <w:lang w:eastAsia="de-DE"/>
        </w:rPr>
        <w:br/>
        <w:t>Institut für Kommunikationswissenschaft und Medienforschung</w:t>
      </w:r>
      <w:r w:rsidRPr="00BE6B00">
        <w:rPr>
          <w:rFonts w:eastAsia="Times New Roman" w:cstheme="minorHAnsi"/>
          <w:lang w:eastAsia="de-DE"/>
        </w:rPr>
        <w:br/>
      </w:r>
      <w:proofErr w:type="spellStart"/>
      <w:r w:rsidRPr="00BE6B00">
        <w:rPr>
          <w:rFonts w:eastAsia="Times New Roman" w:cstheme="minorHAnsi"/>
          <w:lang w:eastAsia="de-DE"/>
        </w:rPr>
        <w:t>Oettingenstr</w:t>
      </w:r>
      <w:proofErr w:type="spellEnd"/>
      <w:r w:rsidRPr="00BE6B00">
        <w:rPr>
          <w:rFonts w:eastAsia="Times New Roman" w:cstheme="minorHAnsi"/>
          <w:lang w:eastAsia="de-DE"/>
        </w:rPr>
        <w:t>. 67</w:t>
      </w:r>
      <w:r w:rsidRPr="00BE6B00">
        <w:rPr>
          <w:rFonts w:eastAsia="Times New Roman" w:cstheme="minorHAnsi"/>
          <w:lang w:eastAsia="de-DE"/>
        </w:rPr>
        <w:br/>
        <w:t>80538 München</w:t>
      </w:r>
      <w:r w:rsidRPr="00BE6B00">
        <w:rPr>
          <w:rFonts w:eastAsia="Times New Roman" w:cstheme="minorHAnsi"/>
          <w:lang w:eastAsia="de-DE"/>
        </w:rPr>
        <w:br/>
      </w:r>
      <w:r w:rsidR="00BE6B00" w:rsidRPr="00BE6B00">
        <w:rPr>
          <w:rFonts w:eastAsia="Times New Roman" w:cstheme="minorHAnsi"/>
          <w:lang w:eastAsia="de-DE"/>
        </w:rPr>
        <w:t>Email: k</w:t>
      </w:r>
      <w:r w:rsidRPr="00BE6B00">
        <w:rPr>
          <w:rFonts w:eastAsia="Times New Roman" w:cstheme="minorHAnsi"/>
          <w:lang w:eastAsia="de-DE"/>
        </w:rPr>
        <w:t>erem.</w:t>
      </w:r>
      <w:r w:rsidR="00BE6B00" w:rsidRPr="00BE6B00">
        <w:rPr>
          <w:rFonts w:eastAsia="Times New Roman" w:cstheme="minorHAnsi"/>
          <w:lang w:eastAsia="de-DE"/>
        </w:rPr>
        <w:t>s</w:t>
      </w:r>
      <w:r w:rsidRPr="00BE6B00">
        <w:rPr>
          <w:rFonts w:eastAsia="Times New Roman" w:cstheme="minorHAnsi"/>
          <w:lang w:eastAsia="de-DE"/>
        </w:rPr>
        <w:t>chamberger@ifkw.lmu.de</w:t>
      </w:r>
    </w:p>
    <w:p w14:paraId="595BC440" w14:textId="77777777" w:rsidR="009F755D" w:rsidRPr="00BE6B00" w:rsidRDefault="009F755D" w:rsidP="009F755D">
      <w:pPr>
        <w:jc w:val="both"/>
        <w:rPr>
          <w:rFonts w:eastAsia="Times New Roman" w:cstheme="minorHAnsi"/>
          <w:lang w:eastAsia="de-DE"/>
        </w:rPr>
      </w:pPr>
      <w:r w:rsidRPr="00BE6B00">
        <w:rPr>
          <w:rFonts w:eastAsia="Times New Roman" w:cstheme="minorHAnsi"/>
          <w:lang w:eastAsia="de-DE"/>
        </w:rPr>
        <w:br/>
        <w:t xml:space="preserve">Der vorliegende Beitrag, als Teil des Panelvorschlags „Media, </w:t>
      </w:r>
      <w:proofErr w:type="spellStart"/>
      <w:r w:rsidRPr="00BE6B00">
        <w:rPr>
          <w:rFonts w:eastAsia="Times New Roman" w:cstheme="minorHAnsi"/>
          <w:lang w:eastAsia="de-DE"/>
        </w:rPr>
        <w:t>Injustices</w:t>
      </w:r>
      <w:proofErr w:type="spellEnd"/>
      <w:r w:rsidRPr="00BE6B00">
        <w:rPr>
          <w:rFonts w:eastAsia="Times New Roman" w:cstheme="minorHAnsi"/>
          <w:lang w:eastAsia="de-DE"/>
        </w:rPr>
        <w:t xml:space="preserve"> &amp; </w:t>
      </w:r>
      <w:proofErr w:type="spellStart"/>
      <w:r w:rsidRPr="00BE6B00">
        <w:rPr>
          <w:rFonts w:eastAsia="Times New Roman" w:cstheme="minorHAnsi"/>
          <w:lang w:eastAsia="de-DE"/>
        </w:rPr>
        <w:t>Exclusion</w:t>
      </w:r>
      <w:proofErr w:type="spellEnd"/>
      <w:r w:rsidRPr="00BE6B00">
        <w:rPr>
          <w:rFonts w:eastAsia="Times New Roman" w:cstheme="minorHAnsi"/>
          <w:lang w:eastAsia="de-DE"/>
        </w:rPr>
        <w:t xml:space="preserve"> - international </w:t>
      </w:r>
      <w:proofErr w:type="spellStart"/>
      <w:r w:rsidRPr="00BE6B00">
        <w:rPr>
          <w:rFonts w:eastAsia="Times New Roman" w:cstheme="minorHAnsi"/>
          <w:lang w:eastAsia="de-DE"/>
        </w:rPr>
        <w:t>perspectives</w:t>
      </w:r>
      <w:proofErr w:type="spellEnd"/>
      <w:r w:rsidRPr="00BE6B00">
        <w:rPr>
          <w:rFonts w:eastAsia="Times New Roman" w:cstheme="minorHAnsi"/>
          <w:lang w:eastAsia="de-DE"/>
        </w:rPr>
        <w:t xml:space="preserve">“ mit weiteren Vorträgen von Hanan </w:t>
      </w:r>
      <w:proofErr w:type="spellStart"/>
      <w:r w:rsidRPr="00BE6B00">
        <w:rPr>
          <w:rFonts w:eastAsia="Times New Roman" w:cstheme="minorHAnsi"/>
          <w:lang w:eastAsia="de-DE"/>
        </w:rPr>
        <w:t>Badr</w:t>
      </w:r>
      <w:proofErr w:type="spellEnd"/>
      <w:r w:rsidRPr="00BE6B00">
        <w:rPr>
          <w:rFonts w:eastAsia="Times New Roman" w:cstheme="minorHAnsi"/>
          <w:lang w:eastAsia="de-DE"/>
        </w:rPr>
        <w:t xml:space="preserve"> und Anna </w:t>
      </w:r>
      <w:proofErr w:type="spellStart"/>
      <w:r w:rsidRPr="00BE6B00">
        <w:rPr>
          <w:rFonts w:eastAsia="Times New Roman" w:cstheme="minorHAnsi"/>
          <w:lang w:eastAsia="de-DE"/>
        </w:rPr>
        <w:t>Mavrikou</w:t>
      </w:r>
      <w:proofErr w:type="spellEnd"/>
      <w:r w:rsidRPr="00BE6B00">
        <w:rPr>
          <w:rFonts w:eastAsia="Times New Roman" w:cstheme="minorHAnsi"/>
          <w:lang w:eastAsia="de-DE"/>
        </w:rPr>
        <w:t>, wird sich mit den Medien der kurdischen Freiheitsbewegung in Nordsyrien/</w:t>
      </w:r>
      <w:proofErr w:type="spellStart"/>
      <w:r w:rsidRPr="00BE6B00">
        <w:rPr>
          <w:rFonts w:eastAsia="Times New Roman" w:cstheme="minorHAnsi"/>
          <w:lang w:eastAsia="de-DE"/>
        </w:rPr>
        <w:t>Rojava</w:t>
      </w:r>
      <w:proofErr w:type="spellEnd"/>
      <w:r w:rsidRPr="00BE6B00">
        <w:rPr>
          <w:rFonts w:eastAsia="Times New Roman" w:cstheme="minorHAnsi"/>
          <w:lang w:eastAsia="de-DE"/>
        </w:rPr>
        <w:t xml:space="preserve"> beschäftigen und dabei ihre Rolle in der stattfindenden gesellschaftlichen Transformation der Region beleuchten. </w:t>
      </w:r>
    </w:p>
    <w:p w14:paraId="6FA0C847" w14:textId="77777777" w:rsidR="009F755D" w:rsidRPr="00BE6B00" w:rsidRDefault="009F755D" w:rsidP="009F755D">
      <w:pPr>
        <w:jc w:val="both"/>
        <w:rPr>
          <w:rFonts w:eastAsia="Times New Roman" w:cstheme="minorHAnsi"/>
          <w:lang w:eastAsia="de-DE"/>
        </w:rPr>
      </w:pPr>
      <w:r w:rsidRPr="00BE6B00">
        <w:rPr>
          <w:rFonts w:eastAsia="Times New Roman" w:cstheme="minorHAnsi"/>
          <w:lang w:eastAsia="de-DE"/>
        </w:rPr>
        <w:t xml:space="preserve">Kritisch anknüpfend an bestehender Mediensystemforschung (z.B. </w:t>
      </w:r>
      <w:proofErr w:type="spellStart"/>
      <w:r w:rsidRPr="00BE6B00">
        <w:rPr>
          <w:rFonts w:eastAsia="Times New Roman" w:cstheme="minorHAnsi"/>
          <w:lang w:eastAsia="de-DE"/>
        </w:rPr>
        <w:t>Hallin</w:t>
      </w:r>
      <w:proofErr w:type="spellEnd"/>
      <w:r w:rsidRPr="00BE6B00">
        <w:rPr>
          <w:rFonts w:eastAsia="Times New Roman" w:cstheme="minorHAnsi"/>
          <w:lang w:eastAsia="de-DE"/>
        </w:rPr>
        <w:t xml:space="preserve"> &amp; Mancini, 2005; Blum 2005; </w:t>
      </w:r>
      <w:proofErr w:type="spellStart"/>
      <w:r w:rsidRPr="00BE6B00">
        <w:rPr>
          <w:rFonts w:eastAsia="Times New Roman" w:cstheme="minorHAnsi"/>
          <w:lang w:eastAsia="de-DE"/>
        </w:rPr>
        <w:t>Meyen</w:t>
      </w:r>
      <w:proofErr w:type="spellEnd"/>
      <w:r w:rsidRPr="00BE6B00">
        <w:rPr>
          <w:rFonts w:eastAsia="Times New Roman" w:cstheme="minorHAnsi"/>
          <w:lang w:eastAsia="de-DE"/>
        </w:rPr>
        <w:t xml:space="preserve">, 2018) und basierend auf der Theorie der Akteur-Struktur-Dynamik befasst sich der Vortag mit dem nicht-staatlichen Mediensystem der KurdInnen im Nahen Osten, mit Fokus auf Nordsyrien, und dabei insbesondere mit den Selbstverständnissen kurdischer JournalistInnen in der Region. Mit mehr als 30 Millionen Menschen weltweit sind die </w:t>
      </w:r>
      <w:r w:rsidRPr="00BE6B00">
        <w:rPr>
          <w:rFonts w:eastAsia="Times New Roman" w:cstheme="minorHAnsi"/>
          <w:lang w:eastAsia="de-DE"/>
        </w:rPr>
        <w:lastRenderedPageBreak/>
        <w:t xml:space="preserve">KurdInnen das größte Volk ohne eigenen Nationalstaat. Sie leben verteilt über vier Länder des Mittleren Osten: Türkei, Irak, Syrien und Iran. Aber auch in Europa leben bis zu zwei Millionen KurdInnen. </w:t>
      </w:r>
      <w:r w:rsidRPr="00BE6B00">
        <w:rPr>
          <w:rFonts w:eastAsia="Times New Roman" w:cstheme="minorHAnsi"/>
          <w:lang w:eastAsia="de-DE"/>
        </w:rPr>
        <w:br/>
      </w:r>
    </w:p>
    <w:p w14:paraId="0630451B" w14:textId="77777777" w:rsidR="009F755D" w:rsidRPr="00BE6B00" w:rsidRDefault="009F755D" w:rsidP="009F755D">
      <w:pPr>
        <w:jc w:val="both"/>
        <w:rPr>
          <w:rFonts w:eastAsia="Times New Roman" w:cstheme="minorHAnsi"/>
          <w:lang w:eastAsia="de-DE"/>
        </w:rPr>
      </w:pPr>
      <w:r w:rsidRPr="00BE6B00">
        <w:rPr>
          <w:rFonts w:eastAsia="Times New Roman" w:cstheme="minorHAnsi"/>
          <w:lang w:eastAsia="de-DE"/>
        </w:rPr>
        <w:t xml:space="preserve">In Syrien hat der Bürgerkrieg im Norden des Landes zu einem Machtvakuum geführt, das </w:t>
      </w:r>
      <w:proofErr w:type="gramStart"/>
      <w:r w:rsidRPr="00BE6B00">
        <w:rPr>
          <w:rFonts w:eastAsia="Times New Roman" w:cstheme="minorHAnsi"/>
          <w:lang w:eastAsia="de-DE"/>
        </w:rPr>
        <w:t>von den dort lebenden KurdInnen</w:t>
      </w:r>
      <w:proofErr w:type="gramEnd"/>
      <w:r w:rsidRPr="00BE6B00">
        <w:rPr>
          <w:rFonts w:eastAsia="Times New Roman" w:cstheme="minorHAnsi"/>
          <w:lang w:eastAsia="de-DE"/>
        </w:rPr>
        <w:t xml:space="preserve"> mit eigenen Strukturen der Selbstverwaltung gefüllt wurde. Ihr politisches Projekt basiert dabei auf drei Säulen: Rätedemokratie, Frauenbefreiung und Ökologie. Im Rahmen der Selbstverwaltung konnten sich zudem erstmals eigene Medienstrukturen entwickeln, da kurdischer Journalismus unter der Herrschaft der </w:t>
      </w:r>
      <w:proofErr w:type="spellStart"/>
      <w:r w:rsidRPr="00BE6B00">
        <w:rPr>
          <w:rFonts w:eastAsia="Times New Roman" w:cstheme="minorHAnsi"/>
          <w:lang w:eastAsia="de-DE"/>
        </w:rPr>
        <w:t>Baath</w:t>
      </w:r>
      <w:proofErr w:type="spellEnd"/>
      <w:r w:rsidRPr="00BE6B00">
        <w:rPr>
          <w:rFonts w:eastAsia="Times New Roman" w:cstheme="minorHAnsi"/>
          <w:lang w:eastAsia="de-DE"/>
        </w:rPr>
        <w:t>-Partei zuvor verboten war. Die meisten der dort agierenden kurdischen Medien stehen politisch als auch finanziell der kurdischen Freiheitsbewegung nahe, deren Ideologie von den oben erwähnten drei Säulen geprägt ist. Im Zuge dessen haben sich im kurdischen Journalismus eigene Rollenbilder und Selbstverständnisse herausgebildet, die eng mit den materiellen und ideologischen Gegebenheiten vor Ort verknüpft sind. Während bisherige Forschung zu journalistischen Selbstverständnissen oft von westlichen Grundannahmen geprägt ist (vgl. Hanitzsch &amp; Vos, 2018), wird hier die Annahme vertreten, dass die Selbstverständnisse kurdischer JournalistInnen vor allem diskursiv geprägt sind (vgl. Hanitzsch &amp; Vos, 2017) und dabei politisch-hegemoniale Akteure und ihre Ideologie eine wichtige Rolle spielen. Im Falle Nordsyriens ist dies die kurdische Freiheitsbewegung. Diese sieht Medien als Werkzeug gesellschaftlicher Transformation. So sollen sie zum Beispiel in der sehr patriarchal-sexistisch geprägten Region die Ideale der Frauenbefreiung verbreiten und für gesellschaftliche Akzeptanz der Gleichberechtigung sorgen. Diese Ideale sind auch innerhalb kurdischer JournalistInnen dominant. Sie sehen sich selbst als Teil der gesellschaftlichen Veränderung und haben explizit das Ziel ihre RezipientInnen zu bilden und zu verändern. Medien kommt dabei neben der Informationsfunktion vor allem ein Bildungsauftrag zu.</w:t>
      </w:r>
    </w:p>
    <w:p w14:paraId="068486D2" w14:textId="3FB174DE" w:rsidR="009F755D" w:rsidRPr="00BE6B00" w:rsidRDefault="009F755D" w:rsidP="00B90676">
      <w:pPr>
        <w:jc w:val="both"/>
        <w:rPr>
          <w:rFonts w:eastAsia="Times New Roman" w:cstheme="minorHAnsi"/>
          <w:lang w:eastAsia="de-DE"/>
        </w:rPr>
      </w:pPr>
      <w:r w:rsidRPr="00BE6B00">
        <w:rPr>
          <w:rFonts w:eastAsia="Times New Roman" w:cstheme="minorHAnsi"/>
          <w:lang w:eastAsia="de-DE"/>
        </w:rPr>
        <w:t xml:space="preserve">Der Vortrag basiert auf einer laufenden Doktorarbeit zum kurdischen Mediensystem. Die empirische Grundlage des Vortrags bildet eine Forschungsreise in die Region Nordsyriens im März/April 2018. Dort wurden 20 Interviews mit Journalisten verschiedener Medien, Beamten, Militärpersonal und einem Vertreter des Journalistenverbandes YRA geführt, Feldbeobachtung (in Redaktionen oder in Begleitung </w:t>
      </w:r>
      <w:r w:rsidR="00B90676" w:rsidRPr="00BE6B00">
        <w:rPr>
          <w:rFonts w:eastAsia="Times New Roman" w:cstheme="minorHAnsi"/>
          <w:lang w:eastAsia="de-DE"/>
        </w:rPr>
        <w:t>von Journalistinnen</w:t>
      </w:r>
      <w:r w:rsidRPr="00BE6B00">
        <w:rPr>
          <w:rFonts w:eastAsia="Times New Roman" w:cstheme="minorHAnsi"/>
          <w:lang w:eastAsia="de-DE"/>
        </w:rPr>
        <w:t>) betrieben und Dokumente gesammelt (Methodentriangulation).</w:t>
      </w:r>
      <w:r w:rsidRPr="00BE6B00">
        <w:rPr>
          <w:rFonts w:eastAsia="Times New Roman" w:cstheme="minorHAnsi"/>
          <w:lang w:eastAsia="de-DE"/>
        </w:rPr>
        <w:br/>
        <w:t xml:space="preserve">Die theoretische Grundlage ist die Akteur-Struktur-Dynamik, die von dem Soziologen Uwe </w:t>
      </w:r>
      <w:proofErr w:type="spellStart"/>
      <w:r w:rsidRPr="00BE6B00">
        <w:rPr>
          <w:rFonts w:eastAsia="Times New Roman" w:cstheme="minorHAnsi"/>
          <w:lang w:eastAsia="de-DE"/>
        </w:rPr>
        <w:t>Schimank</w:t>
      </w:r>
      <w:proofErr w:type="spellEnd"/>
      <w:r w:rsidRPr="00BE6B00">
        <w:rPr>
          <w:rFonts w:eastAsia="Times New Roman" w:cstheme="minorHAnsi"/>
          <w:lang w:eastAsia="de-DE"/>
        </w:rPr>
        <w:t xml:space="preserve"> (2007) entwickelt wurde und das Zusammenspiel von individuellem Handeln und sozialen Strukturen untersucht. Dabei sind drei Arten von sozialen Strukturen prägend: Strukturen der Konstellation (Ressourcen, etc.), Strukturen der Erwartung (Gesetze, informelle Vereinbarungen, etc.) und Strukturen der Interpretation (z.B. journalistische Selbstverständnisse). Diese Strukturen begrenzen zum einen das Handeln der Akteure und zum anderen ermöglichen sie es gleichzeitig. Für den Panelvortrag sind insbesondere die Erwartungs- und Interpretationsstrukturen von Bedeutung.</w:t>
      </w:r>
    </w:p>
    <w:p w14:paraId="7814600D" w14:textId="77777777" w:rsidR="009F755D" w:rsidRPr="00BE6B00" w:rsidRDefault="009F755D" w:rsidP="009F755D">
      <w:pPr>
        <w:rPr>
          <w:rFonts w:eastAsia="Times New Roman" w:cstheme="minorHAnsi"/>
          <w:lang w:eastAsia="de-DE"/>
        </w:rPr>
      </w:pPr>
      <w:r w:rsidRPr="00BE6B00">
        <w:rPr>
          <w:rFonts w:eastAsia="Times New Roman" w:cstheme="minorHAnsi"/>
          <w:b/>
          <w:bCs/>
          <w:lang w:eastAsia="de-DE"/>
        </w:rPr>
        <w:t>Literatur</w:t>
      </w:r>
    </w:p>
    <w:p w14:paraId="68E38F0F" w14:textId="77777777" w:rsidR="009F755D" w:rsidRPr="00BE6B00" w:rsidRDefault="009F755D" w:rsidP="00B90676">
      <w:pPr>
        <w:ind w:left="567" w:hanging="480"/>
        <w:jc w:val="both"/>
        <w:rPr>
          <w:rFonts w:eastAsia="Times New Roman" w:cstheme="minorHAnsi"/>
          <w:lang w:val="en-GB" w:eastAsia="de-DE"/>
        </w:rPr>
      </w:pPr>
      <w:r w:rsidRPr="00BE6B00">
        <w:rPr>
          <w:rFonts w:eastAsia="Times New Roman" w:cstheme="minorHAnsi"/>
          <w:lang w:eastAsia="de-DE"/>
        </w:rPr>
        <w:t xml:space="preserve">Blum, R. (2014). </w:t>
      </w:r>
      <w:r w:rsidRPr="00BE6B00">
        <w:rPr>
          <w:rFonts w:eastAsia="Times New Roman" w:cstheme="minorHAnsi"/>
          <w:i/>
          <w:iCs/>
          <w:lang w:eastAsia="de-DE"/>
        </w:rPr>
        <w:t>Lautsprecher und Widersprecher: ein Ansatz zum Vergleich der Mediensysteme</w:t>
      </w:r>
      <w:r w:rsidRPr="00BE6B00">
        <w:rPr>
          <w:rFonts w:eastAsia="Times New Roman" w:cstheme="minorHAnsi"/>
          <w:lang w:eastAsia="de-DE"/>
        </w:rPr>
        <w:t xml:space="preserve">. </w:t>
      </w:r>
      <w:r w:rsidRPr="00BE6B00">
        <w:rPr>
          <w:rFonts w:eastAsia="Times New Roman" w:cstheme="minorHAnsi"/>
          <w:lang w:val="en-GB" w:eastAsia="de-DE"/>
        </w:rPr>
        <w:t xml:space="preserve">Köln: von </w:t>
      </w:r>
      <w:proofErr w:type="spellStart"/>
      <w:r w:rsidRPr="00BE6B00">
        <w:rPr>
          <w:rFonts w:eastAsia="Times New Roman" w:cstheme="minorHAnsi"/>
          <w:lang w:val="en-GB" w:eastAsia="de-DE"/>
        </w:rPr>
        <w:t>Halem</w:t>
      </w:r>
      <w:proofErr w:type="spellEnd"/>
      <w:r w:rsidRPr="00BE6B00">
        <w:rPr>
          <w:rFonts w:eastAsia="Times New Roman" w:cstheme="minorHAnsi"/>
          <w:lang w:val="en-GB" w:eastAsia="de-DE"/>
        </w:rPr>
        <w:t>.</w:t>
      </w:r>
    </w:p>
    <w:p w14:paraId="7CF41607" w14:textId="77777777" w:rsidR="009F755D" w:rsidRPr="00BE6B00" w:rsidRDefault="009F755D" w:rsidP="00B90676">
      <w:pPr>
        <w:ind w:left="567" w:hanging="480"/>
        <w:jc w:val="both"/>
        <w:rPr>
          <w:rFonts w:eastAsia="Times New Roman" w:cstheme="minorHAnsi"/>
          <w:lang w:val="en-GB" w:eastAsia="de-DE"/>
        </w:rPr>
      </w:pPr>
      <w:proofErr w:type="spellStart"/>
      <w:r w:rsidRPr="00BE6B00">
        <w:rPr>
          <w:rFonts w:eastAsia="Times New Roman" w:cstheme="minorHAnsi"/>
          <w:lang w:val="en-GB" w:eastAsia="de-DE"/>
        </w:rPr>
        <w:lastRenderedPageBreak/>
        <w:t>Hallin</w:t>
      </w:r>
      <w:proofErr w:type="spellEnd"/>
      <w:r w:rsidRPr="00BE6B00">
        <w:rPr>
          <w:rFonts w:eastAsia="Times New Roman" w:cstheme="minorHAnsi"/>
          <w:lang w:val="en-GB" w:eastAsia="de-DE"/>
        </w:rPr>
        <w:t xml:space="preserve">, D. C., &amp; Mancini, P. (2005). Comparing Media Systems. In Curran, J., &amp; </w:t>
      </w:r>
      <w:proofErr w:type="spellStart"/>
      <w:r w:rsidRPr="00BE6B00">
        <w:rPr>
          <w:rFonts w:eastAsia="Times New Roman" w:cstheme="minorHAnsi"/>
          <w:lang w:val="en-GB" w:eastAsia="de-DE"/>
        </w:rPr>
        <w:t>Gurevitch</w:t>
      </w:r>
      <w:proofErr w:type="spellEnd"/>
      <w:r w:rsidRPr="00BE6B00">
        <w:rPr>
          <w:rFonts w:eastAsia="Times New Roman" w:cstheme="minorHAnsi"/>
          <w:lang w:val="en-GB" w:eastAsia="de-DE"/>
        </w:rPr>
        <w:t>, M. (</w:t>
      </w:r>
      <w:proofErr w:type="spellStart"/>
      <w:r w:rsidRPr="00BE6B00">
        <w:rPr>
          <w:rFonts w:eastAsia="Times New Roman" w:cstheme="minorHAnsi"/>
          <w:lang w:val="en-GB" w:eastAsia="de-DE"/>
        </w:rPr>
        <w:t>Hrsg</w:t>
      </w:r>
      <w:proofErr w:type="spellEnd"/>
      <w:r w:rsidRPr="00BE6B00">
        <w:rPr>
          <w:rFonts w:eastAsia="Times New Roman" w:cstheme="minorHAnsi"/>
          <w:lang w:val="en-GB" w:eastAsia="de-DE"/>
        </w:rPr>
        <w:t xml:space="preserve">.), </w:t>
      </w:r>
      <w:r w:rsidRPr="00BE6B00">
        <w:rPr>
          <w:rFonts w:eastAsia="Times New Roman" w:cstheme="minorHAnsi"/>
          <w:i/>
          <w:iCs/>
          <w:lang w:val="en-GB" w:eastAsia="de-DE"/>
        </w:rPr>
        <w:t>Mass Media and Society</w:t>
      </w:r>
      <w:r w:rsidRPr="00BE6B00">
        <w:rPr>
          <w:rFonts w:eastAsia="Times New Roman" w:cstheme="minorHAnsi"/>
          <w:lang w:val="en-GB" w:eastAsia="de-DE"/>
        </w:rPr>
        <w:t xml:space="preserve"> (S. 215–233). London: Bloomsbury.</w:t>
      </w:r>
    </w:p>
    <w:p w14:paraId="3AFDF3BE" w14:textId="77777777" w:rsidR="009F755D" w:rsidRPr="00BE6B00" w:rsidRDefault="009F755D" w:rsidP="00B90676">
      <w:pPr>
        <w:ind w:left="567" w:hanging="480"/>
        <w:jc w:val="both"/>
        <w:rPr>
          <w:rFonts w:eastAsia="Times New Roman" w:cstheme="minorHAnsi"/>
          <w:lang w:val="en-GB" w:eastAsia="de-DE"/>
        </w:rPr>
      </w:pPr>
      <w:proofErr w:type="spellStart"/>
      <w:r w:rsidRPr="00BE6B00">
        <w:rPr>
          <w:rFonts w:eastAsia="Times New Roman" w:cstheme="minorHAnsi"/>
          <w:lang w:val="en-GB" w:eastAsia="de-DE"/>
        </w:rPr>
        <w:t>Hanitzsch</w:t>
      </w:r>
      <w:proofErr w:type="spellEnd"/>
      <w:r w:rsidRPr="00BE6B00">
        <w:rPr>
          <w:rFonts w:eastAsia="Times New Roman" w:cstheme="minorHAnsi"/>
          <w:lang w:val="en-GB" w:eastAsia="de-DE"/>
        </w:rPr>
        <w:t xml:space="preserve">, T., &amp; Vos, T. P. (2017). Journalistic Roles and the Struggle Over Institutional Identity: The Discursive Constitution of Journalism: Journalistic Roles and Institutional Identity. </w:t>
      </w:r>
      <w:r w:rsidRPr="00BE6B00">
        <w:rPr>
          <w:rFonts w:eastAsia="Times New Roman" w:cstheme="minorHAnsi"/>
          <w:i/>
          <w:lang w:val="en-GB" w:eastAsia="de-DE"/>
        </w:rPr>
        <w:t>Communication Theory</w:t>
      </w:r>
      <w:r w:rsidRPr="00BE6B00">
        <w:rPr>
          <w:rFonts w:eastAsia="Times New Roman" w:cstheme="minorHAnsi"/>
          <w:lang w:val="en-GB" w:eastAsia="de-DE"/>
        </w:rPr>
        <w:t>, 27(2), 115–135.  </w:t>
      </w:r>
    </w:p>
    <w:p w14:paraId="3B7C9AC3" w14:textId="77777777" w:rsidR="009F755D" w:rsidRPr="00BE6B00" w:rsidRDefault="009F755D" w:rsidP="00B90676">
      <w:pPr>
        <w:ind w:left="567" w:hanging="480"/>
        <w:jc w:val="both"/>
        <w:rPr>
          <w:rFonts w:eastAsia="Times New Roman" w:cstheme="minorHAnsi"/>
          <w:lang w:val="en-GB" w:eastAsia="de-DE"/>
        </w:rPr>
      </w:pPr>
      <w:proofErr w:type="spellStart"/>
      <w:r w:rsidRPr="00BE6B00">
        <w:rPr>
          <w:rFonts w:eastAsia="Times New Roman" w:cstheme="minorHAnsi"/>
          <w:lang w:val="en-GB" w:eastAsia="de-DE"/>
        </w:rPr>
        <w:t>Hanitzsch</w:t>
      </w:r>
      <w:proofErr w:type="spellEnd"/>
      <w:r w:rsidRPr="00BE6B00">
        <w:rPr>
          <w:rFonts w:eastAsia="Times New Roman" w:cstheme="minorHAnsi"/>
          <w:lang w:val="en-GB" w:eastAsia="de-DE"/>
        </w:rPr>
        <w:t xml:space="preserve">, T., &amp; Vos, T. P. (2018). Journalism beyond democracy: A new look into journalistic roles in political and everyday life. </w:t>
      </w:r>
      <w:r w:rsidRPr="00BE6B00">
        <w:rPr>
          <w:rFonts w:eastAsia="Times New Roman" w:cstheme="minorHAnsi"/>
          <w:i/>
          <w:lang w:val="en-GB" w:eastAsia="de-DE"/>
        </w:rPr>
        <w:t>Journalism: Theory, Practice &amp; Criticism</w:t>
      </w:r>
      <w:r w:rsidRPr="00BE6B00">
        <w:rPr>
          <w:rFonts w:eastAsia="Times New Roman" w:cstheme="minorHAnsi"/>
          <w:lang w:val="en-GB" w:eastAsia="de-DE"/>
        </w:rPr>
        <w:t>, 19(2), 146–164.</w:t>
      </w:r>
    </w:p>
    <w:p w14:paraId="364A0368" w14:textId="77777777" w:rsidR="009F755D" w:rsidRPr="00BE6B00" w:rsidRDefault="009F755D" w:rsidP="00B90676">
      <w:pPr>
        <w:ind w:left="567" w:hanging="480"/>
        <w:jc w:val="both"/>
        <w:rPr>
          <w:rFonts w:cstheme="minorHAnsi"/>
        </w:rPr>
      </w:pPr>
      <w:proofErr w:type="spellStart"/>
      <w:r w:rsidRPr="00BE6B00">
        <w:rPr>
          <w:rFonts w:cstheme="minorHAnsi"/>
          <w:lang w:val="en-GB"/>
        </w:rPr>
        <w:t>Meyen</w:t>
      </w:r>
      <w:proofErr w:type="spellEnd"/>
      <w:r w:rsidRPr="00BE6B00">
        <w:rPr>
          <w:rFonts w:cstheme="minorHAnsi"/>
          <w:lang w:val="en-GB"/>
        </w:rPr>
        <w:t xml:space="preserve">, M. (2018). </w:t>
      </w:r>
      <w:r w:rsidRPr="00BE6B00">
        <w:rPr>
          <w:rFonts w:cstheme="minorHAnsi"/>
          <w:i/>
          <w:iCs/>
          <w:lang w:val="en-GB"/>
        </w:rPr>
        <w:t>Journalists’ autonomy around the globe: a typology of 46 mass media systems</w:t>
      </w:r>
      <w:r w:rsidRPr="00BE6B00">
        <w:rPr>
          <w:rFonts w:cstheme="minorHAnsi"/>
          <w:lang w:val="en-GB"/>
        </w:rPr>
        <w:t xml:space="preserve">. </w:t>
      </w:r>
      <w:r w:rsidRPr="00BE6B00">
        <w:rPr>
          <w:rFonts w:cstheme="minorHAnsi"/>
        </w:rPr>
        <w:t>Global Media Journal, 8 (1). DOI:10.22032/dbt.35003</w:t>
      </w:r>
    </w:p>
    <w:p w14:paraId="50717B15" w14:textId="77777777" w:rsidR="009F755D" w:rsidRPr="00BE6B00" w:rsidRDefault="009F755D" w:rsidP="00B90676">
      <w:pPr>
        <w:ind w:left="567" w:hanging="480"/>
        <w:jc w:val="both"/>
        <w:rPr>
          <w:rFonts w:eastAsia="Times New Roman" w:cstheme="minorHAnsi"/>
          <w:lang w:val="en-US" w:eastAsia="de-DE"/>
        </w:rPr>
      </w:pPr>
      <w:proofErr w:type="spellStart"/>
      <w:r w:rsidRPr="00BE6B00">
        <w:rPr>
          <w:rFonts w:eastAsia="Times New Roman" w:cstheme="minorHAnsi"/>
          <w:lang w:eastAsia="de-DE"/>
        </w:rPr>
        <w:t>Schimank</w:t>
      </w:r>
      <w:proofErr w:type="spellEnd"/>
      <w:r w:rsidRPr="00BE6B00">
        <w:rPr>
          <w:rFonts w:eastAsia="Times New Roman" w:cstheme="minorHAnsi"/>
          <w:lang w:eastAsia="de-DE"/>
        </w:rPr>
        <w:t xml:space="preserve">, U. (2007). Handeln in Konstellationen: Die reflexive Konstitution von handelndem Zusammenwirken und sozialen Strukturen. In Schlüter, C. (Hrsg.), </w:t>
      </w:r>
      <w:proofErr w:type="spellStart"/>
      <w:r w:rsidRPr="00BE6B00">
        <w:rPr>
          <w:rFonts w:eastAsia="Times New Roman" w:cstheme="minorHAnsi"/>
          <w:i/>
          <w:iCs/>
          <w:lang w:eastAsia="de-DE"/>
        </w:rPr>
        <w:t>Journalismustheorie</w:t>
      </w:r>
      <w:proofErr w:type="spellEnd"/>
      <w:r w:rsidRPr="00BE6B00">
        <w:rPr>
          <w:rFonts w:eastAsia="Times New Roman" w:cstheme="minorHAnsi"/>
          <w:i/>
          <w:iCs/>
          <w:lang w:eastAsia="de-DE"/>
        </w:rPr>
        <w:t>: Next Generation. Soziologische Grundlagen und theoretische Innovation</w:t>
      </w:r>
      <w:r w:rsidRPr="00BE6B00">
        <w:rPr>
          <w:rFonts w:eastAsia="Times New Roman" w:cstheme="minorHAnsi"/>
          <w:lang w:eastAsia="de-DE"/>
        </w:rPr>
        <w:t xml:space="preserve"> (S. 121–137). </w:t>
      </w:r>
      <w:r w:rsidRPr="00BE6B00">
        <w:rPr>
          <w:rFonts w:eastAsia="Times New Roman" w:cstheme="minorHAnsi"/>
          <w:lang w:val="en-US" w:eastAsia="de-DE"/>
        </w:rPr>
        <w:t>Wiesbaden: Springer VS.</w:t>
      </w:r>
    </w:p>
    <w:p w14:paraId="0AEAF3A8" w14:textId="77777777" w:rsidR="00881479" w:rsidRPr="00BE6B00" w:rsidRDefault="00881479" w:rsidP="003D0838">
      <w:pPr>
        <w:spacing w:after="0" w:line="360" w:lineRule="auto"/>
        <w:rPr>
          <w:rFonts w:cstheme="minorHAnsi"/>
          <w:b/>
          <w:bCs/>
          <w:lang w:val="en-US"/>
        </w:rPr>
      </w:pPr>
      <w:r w:rsidRPr="00BE6B00">
        <w:rPr>
          <w:rFonts w:cstheme="minorHAnsi"/>
          <w:b/>
          <w:bCs/>
          <w:lang w:val="en-US"/>
        </w:rPr>
        <w:t xml:space="preserve">Paper 2: </w:t>
      </w:r>
    </w:p>
    <w:p w14:paraId="72922B40" w14:textId="3DE50AEE" w:rsidR="00715E61" w:rsidRPr="00BE6B00" w:rsidRDefault="003F40BF" w:rsidP="003D0838">
      <w:pPr>
        <w:spacing w:after="0" w:line="360" w:lineRule="auto"/>
        <w:rPr>
          <w:rFonts w:cstheme="minorHAnsi"/>
          <w:b/>
          <w:bCs/>
          <w:lang w:val="en-US"/>
        </w:rPr>
      </w:pPr>
      <w:r w:rsidRPr="00BE6B00">
        <w:rPr>
          <w:rFonts w:cstheme="minorHAnsi"/>
          <w:b/>
          <w:bCs/>
          <w:lang w:val="en-US"/>
        </w:rPr>
        <w:t>Transformation, Social Media and Hybrid Media Systems – Rethinking the Arab Uprisings</w:t>
      </w:r>
    </w:p>
    <w:p w14:paraId="6C92316E" w14:textId="77777777" w:rsidR="004F6431" w:rsidRPr="00BE6B00" w:rsidRDefault="004F6431" w:rsidP="003D0838">
      <w:pPr>
        <w:spacing w:after="0" w:line="360" w:lineRule="auto"/>
        <w:rPr>
          <w:rFonts w:cstheme="minorHAnsi"/>
          <w:b/>
          <w:bCs/>
        </w:rPr>
      </w:pPr>
      <w:r w:rsidRPr="00BE6B00">
        <w:rPr>
          <w:rFonts w:cstheme="minorHAnsi"/>
          <w:b/>
          <w:bCs/>
        </w:rPr>
        <w:t xml:space="preserve">Hanan </w:t>
      </w:r>
      <w:proofErr w:type="spellStart"/>
      <w:r w:rsidRPr="00BE6B00">
        <w:rPr>
          <w:rFonts w:cstheme="minorHAnsi"/>
          <w:b/>
          <w:bCs/>
        </w:rPr>
        <w:t>Badr</w:t>
      </w:r>
      <w:proofErr w:type="spellEnd"/>
    </w:p>
    <w:p w14:paraId="3F7F3A7A" w14:textId="16E12EC5" w:rsidR="004F6431" w:rsidRPr="00BE6B00" w:rsidRDefault="004F6431" w:rsidP="003D0838">
      <w:pPr>
        <w:spacing w:after="0" w:line="360" w:lineRule="auto"/>
        <w:rPr>
          <w:rFonts w:cstheme="minorHAnsi"/>
        </w:rPr>
      </w:pPr>
      <w:r w:rsidRPr="00BE6B00">
        <w:rPr>
          <w:rFonts w:cstheme="minorHAnsi"/>
        </w:rPr>
        <w:t>Freie Universität Berlin</w:t>
      </w:r>
    </w:p>
    <w:p w14:paraId="57CBFB08" w14:textId="17F68C6E" w:rsidR="00B90676" w:rsidRPr="00BE6B00" w:rsidRDefault="00B90676" w:rsidP="003D0838">
      <w:pPr>
        <w:spacing w:after="0" w:line="360" w:lineRule="auto"/>
        <w:rPr>
          <w:rFonts w:cstheme="minorHAnsi"/>
        </w:rPr>
      </w:pPr>
      <w:r w:rsidRPr="00BE6B00">
        <w:rPr>
          <w:rFonts w:cstheme="minorHAnsi"/>
        </w:rPr>
        <w:t>Institut für Publizistik und Kommunikationswissenschaft</w:t>
      </w:r>
    </w:p>
    <w:p w14:paraId="687624E9" w14:textId="5F4EF0CA" w:rsidR="00B90676" w:rsidRPr="00BE6B00" w:rsidRDefault="00B90676" w:rsidP="003D0838">
      <w:pPr>
        <w:spacing w:after="0" w:line="360" w:lineRule="auto"/>
        <w:rPr>
          <w:rFonts w:cstheme="minorHAnsi"/>
        </w:rPr>
      </w:pPr>
      <w:proofErr w:type="spellStart"/>
      <w:r w:rsidRPr="00BE6B00">
        <w:rPr>
          <w:rFonts w:cstheme="minorHAnsi"/>
        </w:rPr>
        <w:t>Garystr</w:t>
      </w:r>
      <w:proofErr w:type="spellEnd"/>
      <w:r w:rsidRPr="00BE6B00">
        <w:rPr>
          <w:rFonts w:cstheme="minorHAnsi"/>
        </w:rPr>
        <w:t>. 55</w:t>
      </w:r>
    </w:p>
    <w:p w14:paraId="72785CA2" w14:textId="0A21FFCD" w:rsidR="00B90676" w:rsidRPr="00BE6B00" w:rsidRDefault="00B90676" w:rsidP="003D0838">
      <w:pPr>
        <w:spacing w:after="0" w:line="360" w:lineRule="auto"/>
        <w:rPr>
          <w:rFonts w:cstheme="minorHAnsi"/>
        </w:rPr>
      </w:pPr>
      <w:r w:rsidRPr="00BE6B00">
        <w:rPr>
          <w:rFonts w:cstheme="minorHAnsi"/>
        </w:rPr>
        <w:t>14195 Berlin</w:t>
      </w:r>
    </w:p>
    <w:p w14:paraId="0EF33B5B" w14:textId="6A7B26FE" w:rsidR="003D0838" w:rsidRPr="00BE6B00" w:rsidRDefault="00BE6B00" w:rsidP="003D0838">
      <w:pPr>
        <w:spacing w:after="0" w:line="360" w:lineRule="auto"/>
        <w:rPr>
          <w:rFonts w:cstheme="minorHAnsi"/>
          <w:lang w:val="en-US"/>
        </w:rPr>
      </w:pPr>
      <w:r w:rsidRPr="00BE6B00">
        <w:rPr>
          <w:rFonts w:cstheme="minorHAnsi"/>
          <w:lang w:val="en-US"/>
        </w:rPr>
        <w:t xml:space="preserve">Email: </w:t>
      </w:r>
      <w:hyperlink r:id="rId7" w:history="1">
        <w:r w:rsidRPr="00BE6B00">
          <w:rPr>
            <w:rStyle w:val="Hyperlink"/>
            <w:rFonts w:cstheme="minorHAnsi"/>
            <w:lang w:val="en-US"/>
          </w:rPr>
          <w:t>hanan.badr@fu-berlin.de</w:t>
        </w:r>
      </w:hyperlink>
      <w:r w:rsidRPr="00BE6B00">
        <w:rPr>
          <w:rFonts w:cstheme="minorHAnsi"/>
          <w:lang w:val="en-US"/>
        </w:rPr>
        <w:t xml:space="preserve"> </w:t>
      </w:r>
    </w:p>
    <w:p w14:paraId="2438CE27" w14:textId="77777777" w:rsidR="004F6431" w:rsidRPr="00BE6B00" w:rsidRDefault="004F6431" w:rsidP="003D0838">
      <w:pPr>
        <w:spacing w:after="0" w:line="360" w:lineRule="auto"/>
        <w:rPr>
          <w:rFonts w:cstheme="minorHAnsi"/>
          <w:b/>
          <w:lang w:val="en-US"/>
        </w:rPr>
      </w:pPr>
    </w:p>
    <w:p w14:paraId="32497B92" w14:textId="77777777" w:rsidR="00C53426" w:rsidRPr="00BE6B00" w:rsidRDefault="00C53426" w:rsidP="003D0838">
      <w:pPr>
        <w:spacing w:after="0" w:line="360" w:lineRule="auto"/>
        <w:jc w:val="both"/>
        <w:rPr>
          <w:rFonts w:cstheme="minorHAnsi"/>
          <w:b/>
          <w:bCs/>
          <w:lang w:val="en-US"/>
        </w:rPr>
      </w:pPr>
      <w:r w:rsidRPr="00BE6B00">
        <w:rPr>
          <w:rFonts w:cstheme="minorHAnsi"/>
          <w:b/>
          <w:bCs/>
          <w:lang w:val="en-US"/>
        </w:rPr>
        <w:t>Introduction</w:t>
      </w:r>
    </w:p>
    <w:p w14:paraId="48165BDE" w14:textId="296A5F9E" w:rsidR="003F40BF" w:rsidRPr="00BE6B00" w:rsidRDefault="003F40BF" w:rsidP="003D0838">
      <w:pPr>
        <w:spacing w:after="0" w:line="360" w:lineRule="auto"/>
        <w:jc w:val="both"/>
        <w:rPr>
          <w:rFonts w:cstheme="minorHAnsi"/>
          <w:lang w:val="en-GB"/>
        </w:rPr>
      </w:pPr>
      <w:r w:rsidRPr="00BE6B00">
        <w:rPr>
          <w:rFonts w:cstheme="minorHAnsi"/>
          <w:lang w:val="en-GB"/>
        </w:rPr>
        <w:t xml:space="preserve">Today in 2019, we need to revisit the debate on media and transformation </w:t>
      </w:r>
      <w:r w:rsidR="00BE6B00" w:rsidRPr="00BE6B00">
        <w:rPr>
          <w:rFonts w:cstheme="minorHAnsi"/>
          <w:lang w:val="en-GB"/>
        </w:rPr>
        <w:t>in North</w:t>
      </w:r>
      <w:r w:rsidRPr="00BE6B00">
        <w:rPr>
          <w:rFonts w:cstheme="minorHAnsi"/>
          <w:lang w:val="en-GB"/>
        </w:rPr>
        <w:t xml:space="preserve"> Africa and embed it in current political and media frameworks. Very different to the 2011-2012 euphoria, the current public in the Arab region returned to despair and fragmentation due to the consequences of the failed Arab uprisings. The uprisings in Sudan and Algeria renewed the debates on how social media connect to transformation in multiple and unexpected ways. The Internet Shutdown moment by the Sudanese government felt like a </w:t>
      </w:r>
      <w:proofErr w:type="spellStart"/>
      <w:r w:rsidRPr="00BE6B00">
        <w:rPr>
          <w:rFonts w:cstheme="minorHAnsi"/>
          <w:lang w:val="en-GB"/>
        </w:rPr>
        <w:t>déja</w:t>
      </w:r>
      <w:proofErr w:type="spellEnd"/>
      <w:r w:rsidRPr="00BE6B00">
        <w:rPr>
          <w:rFonts w:cstheme="minorHAnsi"/>
          <w:lang w:val="en-GB"/>
        </w:rPr>
        <w:t>-vu as it strikingly resembled the response of Mubarak’s crumbling regime in 2011.</w:t>
      </w:r>
    </w:p>
    <w:p w14:paraId="1CCF2699" w14:textId="39E0325B" w:rsidR="003F40BF" w:rsidRPr="00BE6B00" w:rsidRDefault="003F40BF" w:rsidP="003D0838">
      <w:pPr>
        <w:spacing w:after="0" w:line="360" w:lineRule="auto"/>
        <w:jc w:val="both"/>
        <w:rPr>
          <w:rFonts w:cstheme="minorHAnsi"/>
          <w:lang w:val="en-GB" w:bidi="ar-EG"/>
        </w:rPr>
      </w:pPr>
      <w:r w:rsidRPr="00BE6B00">
        <w:rPr>
          <w:rFonts w:cstheme="minorHAnsi"/>
          <w:lang w:val="en-GB" w:bidi="ar-EG"/>
        </w:rPr>
        <w:t xml:space="preserve">How can we understand the role of social media in triggering transformation processes in North Africa? Today, the Internet usage </w:t>
      </w:r>
      <w:r w:rsidR="00DF24B6" w:rsidRPr="00BE6B00">
        <w:rPr>
          <w:rFonts w:cstheme="minorHAnsi"/>
          <w:lang w:val="en-GB" w:bidi="ar-EG"/>
        </w:rPr>
        <w:t>numbers,</w:t>
      </w:r>
      <w:r w:rsidRPr="00BE6B00">
        <w:rPr>
          <w:rFonts w:cstheme="minorHAnsi"/>
          <w:lang w:val="en-GB" w:bidi="ar-EG"/>
        </w:rPr>
        <w:t xml:space="preserve"> and the dissatisfaction rates are even higher than before 2011, but this does not lead to renewed protests.  Eight years ago, stagnant authoritarian regimes underestimated the online public spheres and tended to simple </w:t>
      </w:r>
      <w:r w:rsidRPr="00BE6B00">
        <w:rPr>
          <w:rFonts w:cstheme="minorHAnsi"/>
          <w:lang w:val="en-GB" w:bidi="ar-EG"/>
        </w:rPr>
        <w:lastRenderedPageBreak/>
        <w:t xml:space="preserve">blocking techniques. Since then, regimes learned that this strategy clearly backfired, and take online spheres much more seriously. </w:t>
      </w:r>
    </w:p>
    <w:p w14:paraId="520871FB" w14:textId="77777777" w:rsidR="00C53426" w:rsidRPr="00BE6B00" w:rsidRDefault="00C53426" w:rsidP="003D0838">
      <w:pPr>
        <w:spacing w:after="0" w:line="360" w:lineRule="auto"/>
        <w:jc w:val="both"/>
        <w:rPr>
          <w:rFonts w:cstheme="minorHAnsi"/>
          <w:b/>
          <w:bCs/>
          <w:lang w:val="en-GB" w:bidi="ar-EG"/>
        </w:rPr>
      </w:pPr>
      <w:r w:rsidRPr="00BE6B00">
        <w:rPr>
          <w:rFonts w:cstheme="minorHAnsi"/>
          <w:b/>
          <w:bCs/>
          <w:lang w:val="en-GB" w:bidi="ar-EG"/>
        </w:rPr>
        <w:t>Theoretical debate on social media and political transformation: Media first vs. Politics first</w:t>
      </w:r>
    </w:p>
    <w:p w14:paraId="29097F14" w14:textId="77777777" w:rsidR="003F40BF" w:rsidRPr="00BE6B00" w:rsidRDefault="003F40BF" w:rsidP="003D0838">
      <w:pPr>
        <w:spacing w:after="0" w:line="360" w:lineRule="auto"/>
        <w:jc w:val="both"/>
        <w:rPr>
          <w:rFonts w:cstheme="minorHAnsi"/>
          <w:lang w:val="en-GB" w:bidi="ar-EG"/>
        </w:rPr>
      </w:pPr>
      <w:r w:rsidRPr="00BE6B00">
        <w:rPr>
          <w:rFonts w:cstheme="minorHAnsi"/>
          <w:lang w:val="en-GB"/>
        </w:rPr>
        <w:t xml:space="preserve">Connections between social media and transformation processes in North Africa sparked intense debates </w:t>
      </w:r>
      <w:r w:rsidRPr="00BE6B00">
        <w:rPr>
          <w:rFonts w:cstheme="minorHAnsi"/>
          <w:lang w:val="en-GB" w:bidi="ar-EG"/>
        </w:rPr>
        <w:t xml:space="preserve">across two fields: political and area studies on the one hand, and media studies on the other. Within the tradition of political and area studies, scholarship on media and political transformation is inspired by democratization processes in Southern Europe, Latin America and Eastern Europe. Here, transformation is viewed as a process, where regime transition from autocracy into democracy can evolve across three stages: (1) collapse of the old regime, (2) negotiating new foundations in the transition phase and (3) consolidation of the new democracy. A relapse into the authoritarian framework is also possible. </w:t>
      </w:r>
    </w:p>
    <w:p w14:paraId="6C5CF462" w14:textId="77777777" w:rsidR="003F40BF" w:rsidRPr="00BE6B00" w:rsidRDefault="003F40BF" w:rsidP="003D0838">
      <w:pPr>
        <w:spacing w:after="0" w:line="360" w:lineRule="auto"/>
        <w:jc w:val="both"/>
        <w:rPr>
          <w:rFonts w:cstheme="minorHAnsi"/>
          <w:lang w:val="en-GB"/>
        </w:rPr>
      </w:pPr>
      <w:r w:rsidRPr="00BE6B00">
        <w:rPr>
          <w:rFonts w:cstheme="minorHAnsi"/>
          <w:lang w:val="en-GB" w:bidi="ar-EG"/>
        </w:rPr>
        <w:t>After the Arab Uprisings</w:t>
      </w:r>
      <w:r w:rsidRPr="00BE6B00">
        <w:rPr>
          <w:rFonts w:cstheme="minorHAnsi"/>
          <w:b/>
          <w:bCs/>
          <w:lang w:val="en-GB" w:bidi="ar-EG"/>
        </w:rPr>
        <w:t>,</w:t>
      </w:r>
      <w:r w:rsidRPr="00BE6B00">
        <w:rPr>
          <w:rFonts w:cstheme="minorHAnsi"/>
          <w:lang w:val="en-GB" w:bidi="ar-EG"/>
        </w:rPr>
        <w:t xml:space="preserve"> scholars intensely debated if the 2011 upheavals were ‘democracy’s fourth wave’ as Howard and Hussain put it (2013). As we know from today’s position, this was not the case. Most countries where the regimes collapsed –except Tunisia- fell into scenarios of polarization, political chaos and civil war or into renewed autocracies. </w:t>
      </w:r>
    </w:p>
    <w:p w14:paraId="451856CD" w14:textId="6824A374" w:rsidR="003F40BF" w:rsidRPr="00BE6B00" w:rsidRDefault="003F40BF" w:rsidP="003D0838">
      <w:pPr>
        <w:spacing w:after="0" w:line="360" w:lineRule="auto"/>
        <w:jc w:val="both"/>
        <w:rPr>
          <w:rFonts w:cstheme="minorHAnsi"/>
          <w:lang w:val="en-US" w:bidi="ar-EG"/>
        </w:rPr>
      </w:pPr>
      <w:r w:rsidRPr="00BE6B00">
        <w:rPr>
          <w:rFonts w:cstheme="minorHAnsi"/>
          <w:lang w:val="en-GB" w:bidi="ar-EG"/>
        </w:rPr>
        <w:t>The concept transformation is also rooted in media studies itself, yet under different connotations</w:t>
      </w:r>
      <w:r w:rsidRPr="00BE6B00">
        <w:rPr>
          <w:rFonts w:cstheme="minorHAnsi"/>
          <w:b/>
          <w:bCs/>
          <w:lang w:val="en-GB" w:bidi="ar-EG"/>
        </w:rPr>
        <w:t>.</w:t>
      </w:r>
      <w:r w:rsidRPr="000256FF">
        <w:rPr>
          <w:rFonts w:cstheme="minorHAnsi"/>
          <w:lang w:val="en-GB" w:bidi="ar-EG"/>
        </w:rPr>
        <w:t xml:space="preserve"> It</w:t>
      </w:r>
      <w:r w:rsidRPr="00BE6B00">
        <w:rPr>
          <w:rFonts w:cstheme="minorHAnsi"/>
          <w:lang w:val="en-GB" w:bidi="ar-EG"/>
        </w:rPr>
        <w:t xml:space="preserve"> refers to the dramatic changes in media spheres through digitization processes. Today the omnipresent Internet renegotiates our practices of identity, power struggles and self-expression. </w:t>
      </w:r>
      <w:r w:rsidR="00BE6B00" w:rsidRPr="00BE6B00">
        <w:rPr>
          <w:rFonts w:cstheme="minorHAnsi"/>
          <w:lang w:val="en-GB"/>
        </w:rPr>
        <w:t xml:space="preserve">The introduction </w:t>
      </w:r>
      <w:r w:rsidR="00B26B9B" w:rsidRPr="00BE6B00">
        <w:rPr>
          <w:rFonts w:cstheme="minorHAnsi"/>
          <w:lang w:val="en-GB"/>
        </w:rPr>
        <w:t xml:space="preserve">and </w:t>
      </w:r>
      <w:proofErr w:type="gramStart"/>
      <w:r w:rsidR="00B26B9B" w:rsidRPr="00BE6B00">
        <w:rPr>
          <w:rFonts w:cstheme="minorHAnsi"/>
          <w:lang w:val="en-GB"/>
        </w:rPr>
        <w:t>evolution</w:t>
      </w:r>
      <w:r w:rsidRPr="00BE6B00">
        <w:rPr>
          <w:rFonts w:cstheme="minorHAnsi"/>
          <w:lang w:val="en-GB"/>
        </w:rPr>
        <w:t xml:space="preserve">  of</w:t>
      </w:r>
      <w:proofErr w:type="gramEnd"/>
      <w:r w:rsidRPr="00BE6B00">
        <w:rPr>
          <w:rFonts w:cstheme="minorHAnsi"/>
          <w:lang w:val="en-GB"/>
        </w:rPr>
        <w:t xml:space="preserve">  the  Internet has represented media history’s most complex and disruptive technology after the invention of the print press. It contributes to an ongoing and dramatic change of media and how they operate within their cultural, political and societal fields. </w:t>
      </w:r>
      <w:r w:rsidRPr="00BE6B00">
        <w:rPr>
          <w:rFonts w:cstheme="minorHAnsi"/>
          <w:lang w:val="en-GB" w:bidi="ar-EG"/>
        </w:rPr>
        <w:t xml:space="preserve">This ongoing debate on </w:t>
      </w:r>
      <w:r w:rsidRPr="00BE6B00">
        <w:rPr>
          <w:rFonts w:cstheme="minorHAnsi"/>
          <w:lang w:val="en-US" w:bidi="ar-EG"/>
        </w:rPr>
        <w:t xml:space="preserve">transformation and media in North Africa captures both debates: in terms of regime change </w:t>
      </w:r>
      <w:r w:rsidRPr="00BE6B00">
        <w:rPr>
          <w:rFonts w:cstheme="minorHAnsi"/>
          <w:i/>
          <w:iCs/>
          <w:lang w:val="en-US" w:bidi="ar-EG"/>
        </w:rPr>
        <w:t>and</w:t>
      </w:r>
      <w:r w:rsidRPr="00BE6B00">
        <w:rPr>
          <w:rFonts w:cstheme="minorHAnsi"/>
          <w:lang w:val="en-US" w:bidi="ar-EG"/>
        </w:rPr>
        <w:t xml:space="preserve"> impact of digitization on political processes. </w:t>
      </w:r>
    </w:p>
    <w:p w14:paraId="51C6D269" w14:textId="77777777" w:rsidR="004F6431" w:rsidRPr="00BE6B00" w:rsidRDefault="004F6431" w:rsidP="003D0838">
      <w:pPr>
        <w:spacing w:after="0" w:line="360" w:lineRule="auto"/>
        <w:jc w:val="both"/>
        <w:rPr>
          <w:rFonts w:cstheme="minorHAnsi"/>
          <w:b/>
          <w:bCs/>
          <w:lang w:val="en-GB" w:bidi="ar-EG"/>
        </w:rPr>
      </w:pPr>
      <w:r w:rsidRPr="00BE6B00">
        <w:rPr>
          <w:rFonts w:cstheme="minorHAnsi"/>
          <w:b/>
          <w:bCs/>
          <w:lang w:val="en-GB" w:bidi="ar-EG"/>
        </w:rPr>
        <w:t>Central argument of the paper</w:t>
      </w:r>
    </w:p>
    <w:p w14:paraId="5382DB1D" w14:textId="572FF339" w:rsidR="00E35442" w:rsidRPr="00BE6B00" w:rsidRDefault="00E35442" w:rsidP="003D0838">
      <w:pPr>
        <w:spacing w:after="0" w:line="360" w:lineRule="auto"/>
        <w:jc w:val="both"/>
        <w:rPr>
          <w:rFonts w:cstheme="minorHAnsi"/>
          <w:lang w:val="en-GB" w:bidi="ar-EG"/>
        </w:rPr>
      </w:pPr>
      <w:r w:rsidRPr="00BE6B00">
        <w:rPr>
          <w:rFonts w:cstheme="minorHAnsi"/>
          <w:lang w:val="en-GB" w:bidi="ar-EG"/>
        </w:rPr>
        <w:t xml:space="preserve">Building on comparative case studies on two counter-issues (police brutality and workers strikes) </w:t>
      </w:r>
      <w:r w:rsidR="004F6431" w:rsidRPr="00BE6B00">
        <w:rPr>
          <w:rFonts w:cstheme="minorHAnsi"/>
          <w:lang w:val="en-GB" w:bidi="ar-EG"/>
        </w:rPr>
        <w:t xml:space="preserve">and integrating the concept hybrid media system (Chadwick, 2017) </w:t>
      </w:r>
      <w:r w:rsidRPr="00BE6B00">
        <w:rPr>
          <w:rFonts w:cstheme="minorHAnsi"/>
          <w:lang w:val="en-GB" w:bidi="ar-EG"/>
        </w:rPr>
        <w:t>the paper reconstructs media discourses into a coherent timeline to shed light on the role of media in triggering transformation beyond the liberation technology hypothesis (Diamond, 2010)</w:t>
      </w:r>
    </w:p>
    <w:p w14:paraId="5E1CC0A0" w14:textId="38062FBD" w:rsidR="003F40BF" w:rsidRPr="00BE6B00" w:rsidRDefault="003F40BF" w:rsidP="003D0838">
      <w:pPr>
        <w:spacing w:after="0" w:line="360" w:lineRule="auto"/>
        <w:jc w:val="both"/>
        <w:rPr>
          <w:rFonts w:cstheme="minorHAnsi"/>
          <w:lang w:val="en-GB"/>
        </w:rPr>
      </w:pPr>
      <w:r w:rsidRPr="00BE6B00">
        <w:rPr>
          <w:rFonts w:cstheme="minorHAnsi"/>
          <w:lang w:val="en-GB"/>
        </w:rPr>
        <w:t>In order to understand the role of media and transformation processes the paper consists of three parts: a) Building on the aforementioned debate the first part elaborates on the vivid controversy, laying out arguments for initial social media euphoria and then counter-arguments that call for limitations by highlighting the authoritarian learning processes</w:t>
      </w:r>
      <w:r w:rsidR="00E35442" w:rsidRPr="00BE6B00">
        <w:rPr>
          <w:rFonts w:cstheme="minorHAnsi"/>
          <w:lang w:val="en-GB"/>
        </w:rPr>
        <w:t xml:space="preserve"> (</w:t>
      </w:r>
      <w:proofErr w:type="spellStart"/>
      <w:r w:rsidR="00E35442" w:rsidRPr="00BE6B00">
        <w:rPr>
          <w:rFonts w:cstheme="minorHAnsi"/>
          <w:lang w:val="en-GB"/>
        </w:rPr>
        <w:t>Badr</w:t>
      </w:r>
      <w:proofErr w:type="spellEnd"/>
      <w:r w:rsidR="00E35442" w:rsidRPr="00BE6B00">
        <w:rPr>
          <w:rFonts w:cstheme="minorHAnsi"/>
          <w:lang w:val="en-GB"/>
        </w:rPr>
        <w:t xml:space="preserve"> 2013)</w:t>
      </w:r>
      <w:r w:rsidRPr="00BE6B00">
        <w:rPr>
          <w:rFonts w:cstheme="minorHAnsi"/>
          <w:lang w:val="en-GB"/>
        </w:rPr>
        <w:t>.</w:t>
      </w:r>
    </w:p>
    <w:p w14:paraId="101692D8" w14:textId="77777777" w:rsidR="00E35442" w:rsidRPr="00BE6B00" w:rsidRDefault="003F40BF" w:rsidP="003D0838">
      <w:pPr>
        <w:spacing w:after="0" w:line="360" w:lineRule="auto"/>
        <w:jc w:val="both"/>
        <w:rPr>
          <w:rFonts w:cstheme="minorHAnsi"/>
          <w:lang w:val="en-GB" w:bidi="ar-EG"/>
        </w:rPr>
      </w:pPr>
      <w:r w:rsidRPr="00BE6B00">
        <w:rPr>
          <w:rFonts w:cstheme="minorHAnsi"/>
          <w:lang w:val="en-GB" w:bidi="ar-EG"/>
        </w:rPr>
        <w:lastRenderedPageBreak/>
        <w:t xml:space="preserve">The second part </w:t>
      </w:r>
      <w:r w:rsidR="004F6431" w:rsidRPr="00BE6B00">
        <w:rPr>
          <w:rFonts w:cstheme="minorHAnsi"/>
          <w:lang w:val="en-GB" w:bidi="ar-EG"/>
        </w:rPr>
        <w:t xml:space="preserve">of the paper </w:t>
      </w:r>
      <w:r w:rsidRPr="00BE6B00">
        <w:rPr>
          <w:rFonts w:cstheme="minorHAnsi"/>
          <w:lang w:val="en-GB" w:bidi="ar-EG"/>
        </w:rPr>
        <w:t>explains how media visibility of counter-issues pushed socio-economic and political grievances within hybrid media systems, by highlighting examples from Tunisia and Egypt.</w:t>
      </w:r>
      <w:r w:rsidR="00E35442" w:rsidRPr="00BE6B00">
        <w:rPr>
          <w:rFonts w:cstheme="minorHAnsi"/>
          <w:lang w:val="en-GB" w:bidi="ar-EG"/>
        </w:rPr>
        <w:t xml:space="preserve"> To overcome this binary construction of Media first vs. Politics first, the concept media visibility of counter-issues helps us to understand media and transformation.</w:t>
      </w:r>
    </w:p>
    <w:p w14:paraId="4D0C1E57" w14:textId="77777777" w:rsidR="00E35442" w:rsidRPr="00BE6B00" w:rsidRDefault="00E35442" w:rsidP="003D0838">
      <w:pPr>
        <w:spacing w:after="0" w:line="360" w:lineRule="auto"/>
        <w:jc w:val="both"/>
        <w:rPr>
          <w:rFonts w:cstheme="minorHAnsi"/>
          <w:lang w:val="en-GB" w:bidi="ar-EG"/>
        </w:rPr>
      </w:pPr>
      <w:r w:rsidRPr="00BE6B00">
        <w:rPr>
          <w:rFonts w:cstheme="minorHAnsi"/>
          <w:lang w:val="en-GB" w:bidi="ar-EG"/>
        </w:rPr>
        <w:t>This paper’s central argument is that media visibility of counter-issues triggered the transformation processes. Actors publicly delegitimized the regimes in Egypt, Tunisia and Libya, within hybrid media systems. Regime responses failed to contain the consequences of new media practices and activists’ strategies. So asymmetric relations – moral and functional breaches of regime’s legitimacy- have triggered the transformations, not the media activism alone (</w:t>
      </w:r>
      <w:proofErr w:type="spellStart"/>
      <w:r w:rsidRPr="00BE6B00">
        <w:rPr>
          <w:rFonts w:cstheme="minorHAnsi"/>
          <w:lang w:val="en-GB" w:bidi="ar-EG"/>
        </w:rPr>
        <w:t>Badr</w:t>
      </w:r>
      <w:proofErr w:type="spellEnd"/>
      <w:r w:rsidRPr="00BE6B00">
        <w:rPr>
          <w:rFonts w:cstheme="minorHAnsi"/>
          <w:lang w:val="en-GB" w:bidi="ar-EG"/>
        </w:rPr>
        <w:t xml:space="preserve"> &amp; Richter, 2018). </w:t>
      </w:r>
    </w:p>
    <w:p w14:paraId="64F4E072" w14:textId="77777777" w:rsidR="00E35442" w:rsidRPr="00BE6B00" w:rsidRDefault="00E35442" w:rsidP="003D0838">
      <w:pPr>
        <w:spacing w:after="0" w:line="360" w:lineRule="auto"/>
        <w:jc w:val="both"/>
        <w:rPr>
          <w:rFonts w:cstheme="minorHAnsi"/>
          <w:lang w:val="en-GB" w:bidi="ar-EG"/>
        </w:rPr>
      </w:pPr>
      <w:r w:rsidRPr="00BE6B00">
        <w:rPr>
          <w:rFonts w:cstheme="minorHAnsi"/>
          <w:lang w:val="en-GB" w:bidi="ar-EG"/>
        </w:rPr>
        <w:t xml:space="preserve">This argument is strengthened by four central statements: a) Investigating the interdependencies between media and their political and societal fields; b) adopting a holistic understanding of media interlinkages in hybrid media systems; c) recognizing that the uprisings have a </w:t>
      </w:r>
      <w:proofErr w:type="spellStart"/>
      <w:r w:rsidRPr="00BE6B00">
        <w:rPr>
          <w:rFonts w:cstheme="minorHAnsi"/>
          <w:lang w:val="en-GB" w:bidi="ar-EG"/>
        </w:rPr>
        <w:t>processuality</w:t>
      </w:r>
      <w:proofErr w:type="spellEnd"/>
      <w:r w:rsidRPr="00BE6B00">
        <w:rPr>
          <w:rFonts w:cstheme="minorHAnsi"/>
          <w:lang w:val="en-GB" w:bidi="ar-EG"/>
        </w:rPr>
        <w:t xml:space="preserve"> and are not sudden “exceptional” moments and d) finally that more Inner-Arab comparisons will produce more regional differentiation.</w:t>
      </w:r>
    </w:p>
    <w:p w14:paraId="21536463" w14:textId="2037B19B" w:rsidR="003F40BF" w:rsidRDefault="003F40BF" w:rsidP="003D0838">
      <w:pPr>
        <w:spacing w:after="0" w:line="360" w:lineRule="auto"/>
        <w:jc w:val="both"/>
        <w:rPr>
          <w:rFonts w:cstheme="minorHAnsi"/>
          <w:lang w:val="en-GB" w:bidi="ar-EG"/>
        </w:rPr>
      </w:pPr>
      <w:r w:rsidRPr="00BE6B00">
        <w:rPr>
          <w:rFonts w:cstheme="minorHAnsi"/>
          <w:lang w:val="en-GB" w:bidi="ar-EG"/>
        </w:rPr>
        <w:t>Finally, the third part</w:t>
      </w:r>
      <w:r w:rsidR="00E35442" w:rsidRPr="00BE6B00">
        <w:rPr>
          <w:rFonts w:cstheme="minorHAnsi"/>
          <w:lang w:val="en-GB" w:bidi="ar-EG"/>
        </w:rPr>
        <w:t xml:space="preserve"> of the paper</w:t>
      </w:r>
      <w:r w:rsidRPr="00BE6B00">
        <w:rPr>
          <w:rFonts w:cstheme="minorHAnsi"/>
          <w:lang w:val="en-GB" w:bidi="ar-EG"/>
        </w:rPr>
        <w:t>, offers concluding remarks that guide our understanding and actions in the current phase.</w:t>
      </w:r>
    </w:p>
    <w:p w14:paraId="13A54E92" w14:textId="47C3E08D" w:rsidR="00BE6B00" w:rsidRDefault="00BE6B00" w:rsidP="003D0838">
      <w:pPr>
        <w:spacing w:after="0" w:line="360" w:lineRule="auto"/>
        <w:jc w:val="both"/>
        <w:rPr>
          <w:rFonts w:cstheme="minorHAnsi"/>
          <w:lang w:val="en-GB" w:bidi="ar-EG"/>
        </w:rPr>
      </w:pPr>
    </w:p>
    <w:p w14:paraId="408A4CD3" w14:textId="75809033" w:rsidR="00BE6B00" w:rsidRPr="00DF24B6" w:rsidRDefault="00BE6B00" w:rsidP="003D0838">
      <w:pPr>
        <w:spacing w:after="0" w:line="360" w:lineRule="auto"/>
        <w:jc w:val="both"/>
        <w:rPr>
          <w:rFonts w:cstheme="minorHAnsi"/>
          <w:b/>
          <w:bCs/>
          <w:lang w:val="en-GB" w:bidi="ar-EG"/>
        </w:rPr>
      </w:pPr>
      <w:r w:rsidRPr="00DF24B6">
        <w:rPr>
          <w:rFonts w:cstheme="minorHAnsi"/>
          <w:b/>
          <w:bCs/>
          <w:lang w:val="en-GB" w:bidi="ar-EG"/>
        </w:rPr>
        <w:t>Literature</w:t>
      </w:r>
    </w:p>
    <w:p w14:paraId="57CC218F" w14:textId="0C7DC16E" w:rsidR="004057B9" w:rsidRPr="004057B9" w:rsidRDefault="004057B9" w:rsidP="004057B9">
      <w:pPr>
        <w:rPr>
          <w:rFonts w:cstheme="minorHAnsi"/>
          <w:sz w:val="24"/>
          <w:szCs w:val="24"/>
        </w:rPr>
      </w:pPr>
      <w:proofErr w:type="spellStart"/>
      <w:r w:rsidRPr="004057B9">
        <w:rPr>
          <w:rFonts w:cstheme="minorHAnsi"/>
          <w:sz w:val="24"/>
          <w:szCs w:val="24"/>
          <w:lang w:val="en-GB"/>
        </w:rPr>
        <w:t>Badr</w:t>
      </w:r>
      <w:proofErr w:type="spellEnd"/>
      <w:r w:rsidRPr="004815DA">
        <w:rPr>
          <w:rFonts w:cstheme="minorHAnsi"/>
          <w:smallCaps/>
          <w:sz w:val="24"/>
          <w:szCs w:val="24"/>
          <w:lang w:val="en-GB"/>
        </w:rPr>
        <w:t>,</w:t>
      </w:r>
      <w:r w:rsidRPr="004815DA">
        <w:rPr>
          <w:rFonts w:cstheme="minorHAnsi"/>
          <w:sz w:val="24"/>
          <w:szCs w:val="24"/>
          <w:lang w:val="en-GB"/>
        </w:rPr>
        <w:t xml:space="preserve"> H</w:t>
      </w:r>
      <w:r>
        <w:rPr>
          <w:rFonts w:cstheme="minorHAnsi"/>
          <w:sz w:val="24"/>
          <w:szCs w:val="24"/>
          <w:lang w:val="en-GB"/>
        </w:rPr>
        <w:t>. (2013).</w:t>
      </w:r>
      <w:r w:rsidRPr="004815DA">
        <w:rPr>
          <w:rFonts w:cstheme="minorHAnsi"/>
          <w:sz w:val="24"/>
          <w:szCs w:val="24"/>
          <w:lang w:val="en-GB"/>
        </w:rPr>
        <w:t xml:space="preserve"> “Battleground Facebook: Contestation Mechanisms in Egypt’s 2011 Revolution 2011”. In: Ralph Berenger, ed., </w:t>
      </w:r>
      <w:r w:rsidRPr="004815DA">
        <w:rPr>
          <w:rFonts w:cstheme="minorHAnsi"/>
          <w:i/>
          <w:iCs/>
          <w:sz w:val="24"/>
          <w:szCs w:val="24"/>
          <w:lang w:val="en-GB"/>
        </w:rPr>
        <w:t>Social Media Go to War: Rage, Rebellion and Revolution in the Age of Twitter</w:t>
      </w:r>
      <w:r w:rsidRPr="004815DA">
        <w:rPr>
          <w:rFonts w:cstheme="minorHAnsi"/>
          <w:sz w:val="24"/>
          <w:szCs w:val="24"/>
          <w:lang w:val="en-GB"/>
        </w:rPr>
        <w:t xml:space="preserve">. </w:t>
      </w:r>
      <w:r w:rsidRPr="004057B9">
        <w:rPr>
          <w:rFonts w:cstheme="minorHAnsi"/>
          <w:sz w:val="24"/>
          <w:szCs w:val="24"/>
        </w:rPr>
        <w:t>Spokane: Marquette Books, 399 -422.</w:t>
      </w:r>
    </w:p>
    <w:p w14:paraId="5CF76611" w14:textId="06E3C839" w:rsidR="000256FF" w:rsidRPr="000256FF" w:rsidRDefault="000256FF" w:rsidP="000256FF">
      <w:pPr>
        <w:spacing w:after="0" w:line="360" w:lineRule="auto"/>
        <w:rPr>
          <w:rFonts w:cstheme="minorHAnsi"/>
          <w:lang w:bidi="ar-EG"/>
        </w:rPr>
      </w:pPr>
      <w:proofErr w:type="spellStart"/>
      <w:r w:rsidRPr="000256FF">
        <w:rPr>
          <w:rFonts w:cstheme="minorHAnsi"/>
          <w:lang w:bidi="ar-EG"/>
        </w:rPr>
        <w:t>Badr</w:t>
      </w:r>
      <w:proofErr w:type="spellEnd"/>
      <w:r w:rsidRPr="000256FF">
        <w:rPr>
          <w:rFonts w:cstheme="minorHAnsi"/>
          <w:lang w:bidi="ar-EG"/>
        </w:rPr>
        <w:t>,</w:t>
      </w:r>
      <w:r>
        <w:rPr>
          <w:rFonts w:cstheme="minorHAnsi"/>
          <w:lang w:bidi="ar-EG"/>
        </w:rPr>
        <w:t xml:space="preserve"> H.;</w:t>
      </w:r>
      <w:r w:rsidRPr="000256FF">
        <w:rPr>
          <w:rFonts w:cstheme="minorHAnsi"/>
          <w:lang w:bidi="ar-EG"/>
        </w:rPr>
        <w:t xml:space="preserve"> Richter,</w:t>
      </w:r>
      <w:r>
        <w:rPr>
          <w:rFonts w:cstheme="minorHAnsi"/>
          <w:lang w:bidi="ar-EG"/>
        </w:rPr>
        <w:t xml:space="preserve"> C. (2018)</w:t>
      </w:r>
      <w:r w:rsidRPr="000256FF">
        <w:rPr>
          <w:rFonts w:cstheme="minorHAnsi"/>
          <w:lang w:bidi="ar-EG"/>
        </w:rPr>
        <w:t xml:space="preserve"> Kollektive Selbstbestimmung in Autokratien? Agenda-Building im Zusammenspiel von (digitalen) Medien und Aktivisten bei Anti-Folter-Protesten in Ägypten</w:t>
      </w:r>
      <w:r>
        <w:rPr>
          <w:rFonts w:cstheme="minorHAnsi"/>
          <w:lang w:bidi="ar-EG"/>
        </w:rPr>
        <w:t xml:space="preserve">. </w:t>
      </w:r>
    </w:p>
    <w:p w14:paraId="173EDDD1" w14:textId="04485ED4" w:rsidR="00E35442" w:rsidRDefault="000256FF" w:rsidP="000256FF">
      <w:pPr>
        <w:spacing w:after="0" w:line="360" w:lineRule="auto"/>
        <w:rPr>
          <w:rFonts w:cstheme="minorHAnsi"/>
          <w:lang w:bidi="ar-EG"/>
        </w:rPr>
      </w:pPr>
      <w:r w:rsidRPr="000256FF">
        <w:rPr>
          <w:rFonts w:cstheme="minorHAnsi"/>
          <w:lang w:bidi="ar-EG"/>
        </w:rPr>
        <w:t xml:space="preserve">M&amp;K Medien &amp; Kommunikationswissenschaft, 66 </w:t>
      </w:r>
      <w:r>
        <w:rPr>
          <w:rFonts w:cstheme="minorHAnsi"/>
          <w:lang w:bidi="ar-EG"/>
        </w:rPr>
        <w:t>(</w:t>
      </w:r>
      <w:r w:rsidRPr="000256FF">
        <w:rPr>
          <w:rFonts w:cstheme="minorHAnsi"/>
          <w:lang w:bidi="ar-EG"/>
        </w:rPr>
        <w:t>4</w:t>
      </w:r>
      <w:r>
        <w:rPr>
          <w:rFonts w:cstheme="minorHAnsi"/>
          <w:lang w:bidi="ar-EG"/>
        </w:rPr>
        <w:t xml:space="preserve">) </w:t>
      </w:r>
      <w:r w:rsidRPr="000256FF">
        <w:rPr>
          <w:rFonts w:cstheme="minorHAnsi"/>
          <w:lang w:bidi="ar-EG"/>
        </w:rPr>
        <w:t xml:space="preserve">542 </w:t>
      </w:r>
      <w:r>
        <w:rPr>
          <w:rFonts w:cstheme="minorHAnsi"/>
          <w:lang w:bidi="ar-EG"/>
        </w:rPr>
        <w:t>–</w:t>
      </w:r>
      <w:r w:rsidRPr="000256FF">
        <w:rPr>
          <w:rFonts w:cstheme="minorHAnsi"/>
          <w:lang w:bidi="ar-EG"/>
        </w:rPr>
        <w:t xml:space="preserve"> 561</w:t>
      </w:r>
      <w:r>
        <w:rPr>
          <w:rFonts w:cstheme="minorHAnsi"/>
          <w:lang w:bidi="ar-EG"/>
        </w:rPr>
        <w:t>.</w:t>
      </w:r>
    </w:p>
    <w:p w14:paraId="7E974D3B" w14:textId="62E60516" w:rsidR="004057B9" w:rsidRPr="004815DA" w:rsidRDefault="004057B9" w:rsidP="004057B9">
      <w:pPr>
        <w:jc w:val="both"/>
        <w:rPr>
          <w:rFonts w:cstheme="minorHAnsi"/>
          <w:sz w:val="24"/>
          <w:szCs w:val="24"/>
          <w:lang w:val="en-GB" w:bidi="ar-EG"/>
        </w:rPr>
      </w:pPr>
      <w:r w:rsidRPr="004057B9">
        <w:rPr>
          <w:rFonts w:cstheme="minorHAnsi"/>
          <w:sz w:val="24"/>
          <w:szCs w:val="24"/>
          <w:lang w:val="en-GB" w:bidi="ar-EG"/>
        </w:rPr>
        <w:t>Chadwick</w:t>
      </w:r>
      <w:r w:rsidRPr="004815DA">
        <w:rPr>
          <w:rFonts w:cstheme="minorHAnsi"/>
          <w:sz w:val="24"/>
          <w:szCs w:val="24"/>
          <w:lang w:val="en-GB" w:bidi="ar-EG"/>
        </w:rPr>
        <w:t>, A.</w:t>
      </w:r>
      <w:r>
        <w:rPr>
          <w:rFonts w:cstheme="minorHAnsi"/>
          <w:sz w:val="24"/>
          <w:szCs w:val="24"/>
          <w:lang w:val="en-GB" w:bidi="ar-EG"/>
        </w:rPr>
        <w:t xml:space="preserve"> (2017)</w:t>
      </w:r>
      <w:r w:rsidRPr="004815DA">
        <w:rPr>
          <w:rFonts w:cstheme="minorHAnsi"/>
          <w:sz w:val="24"/>
          <w:szCs w:val="24"/>
          <w:lang w:val="en-GB" w:bidi="ar-EG"/>
        </w:rPr>
        <w:t xml:space="preserve"> The Hybrid Media System: Politics and Power (2n</w:t>
      </w:r>
      <w:r>
        <w:rPr>
          <w:rFonts w:cstheme="minorHAnsi"/>
          <w:sz w:val="24"/>
          <w:szCs w:val="24"/>
          <w:lang w:val="en-GB" w:bidi="ar-EG"/>
        </w:rPr>
        <w:t>d</w:t>
      </w:r>
      <w:r w:rsidRPr="004815DA">
        <w:rPr>
          <w:rFonts w:cstheme="minorHAnsi"/>
          <w:sz w:val="24"/>
          <w:szCs w:val="24"/>
          <w:lang w:val="en-GB" w:bidi="ar-EG"/>
        </w:rPr>
        <w:t xml:space="preserve"> ed.). Oxford: Oxford University Press, 2017.</w:t>
      </w:r>
    </w:p>
    <w:p w14:paraId="0D7ABA89" w14:textId="6611AB6C" w:rsidR="004057B9" w:rsidRPr="004815DA" w:rsidRDefault="004057B9" w:rsidP="004057B9">
      <w:pPr>
        <w:rPr>
          <w:rFonts w:cstheme="minorHAnsi"/>
          <w:sz w:val="24"/>
          <w:szCs w:val="24"/>
          <w:lang w:val="en-GB"/>
        </w:rPr>
      </w:pPr>
      <w:r w:rsidRPr="004057B9">
        <w:rPr>
          <w:rFonts w:cstheme="minorHAnsi"/>
          <w:sz w:val="24"/>
          <w:szCs w:val="24"/>
          <w:lang w:val="en-GB"/>
        </w:rPr>
        <w:t>Diamond</w:t>
      </w:r>
      <w:r w:rsidRPr="004815DA">
        <w:rPr>
          <w:rFonts w:cstheme="minorHAnsi"/>
          <w:sz w:val="24"/>
          <w:szCs w:val="24"/>
          <w:lang w:val="en-GB"/>
        </w:rPr>
        <w:t>, L.</w:t>
      </w:r>
      <w:r>
        <w:rPr>
          <w:rFonts w:cstheme="minorHAnsi"/>
          <w:sz w:val="24"/>
          <w:szCs w:val="24"/>
          <w:lang w:val="en-GB"/>
        </w:rPr>
        <w:t xml:space="preserve"> (2010)</w:t>
      </w:r>
      <w:r w:rsidRPr="004815DA">
        <w:rPr>
          <w:rFonts w:cstheme="minorHAnsi"/>
          <w:sz w:val="24"/>
          <w:szCs w:val="24"/>
          <w:lang w:val="en-GB"/>
        </w:rPr>
        <w:t xml:space="preserve"> “Liberation Technology”. </w:t>
      </w:r>
      <w:r w:rsidRPr="004815DA">
        <w:rPr>
          <w:rFonts w:cstheme="minorHAnsi"/>
          <w:i/>
          <w:iCs/>
          <w:sz w:val="24"/>
          <w:szCs w:val="24"/>
          <w:lang w:val="en-GB"/>
        </w:rPr>
        <w:t>Journal of Democracy</w:t>
      </w:r>
      <w:r w:rsidRPr="004815DA">
        <w:rPr>
          <w:rFonts w:cstheme="minorHAnsi"/>
          <w:sz w:val="24"/>
          <w:szCs w:val="24"/>
          <w:lang w:val="en-GB"/>
        </w:rPr>
        <w:t>, 21(3), 69 - 83, 2010.</w:t>
      </w:r>
    </w:p>
    <w:p w14:paraId="7D234523" w14:textId="77777777" w:rsidR="000256FF" w:rsidRPr="00BE6B00" w:rsidRDefault="000256FF" w:rsidP="003D0838">
      <w:pPr>
        <w:spacing w:after="0" w:line="360" w:lineRule="auto"/>
        <w:rPr>
          <w:rFonts w:cstheme="minorHAnsi"/>
          <w:lang w:val="en-GB"/>
        </w:rPr>
      </w:pPr>
    </w:p>
    <w:p w14:paraId="61D06913" w14:textId="77777777" w:rsidR="00715E61" w:rsidRPr="00BE6B00" w:rsidRDefault="00881479" w:rsidP="003D0838">
      <w:pPr>
        <w:spacing w:after="0" w:line="360" w:lineRule="auto"/>
        <w:jc w:val="both"/>
        <w:rPr>
          <w:rFonts w:cstheme="minorHAnsi"/>
          <w:bCs/>
          <w:lang w:val="en-US"/>
        </w:rPr>
      </w:pPr>
      <w:r w:rsidRPr="00BE6B00">
        <w:rPr>
          <w:rFonts w:cstheme="minorHAnsi"/>
          <w:b/>
          <w:lang w:val="en-US"/>
        </w:rPr>
        <w:t xml:space="preserve">Paper </w:t>
      </w:r>
      <w:r w:rsidR="003D0838" w:rsidRPr="00BE6B00">
        <w:rPr>
          <w:rFonts w:cstheme="minorHAnsi"/>
          <w:b/>
          <w:lang w:val="en-US"/>
        </w:rPr>
        <w:t>3</w:t>
      </w:r>
      <w:r w:rsidRPr="00BE6B00">
        <w:rPr>
          <w:rFonts w:cstheme="minorHAnsi"/>
          <w:b/>
          <w:lang w:val="en-US"/>
        </w:rPr>
        <w:t xml:space="preserve">: </w:t>
      </w:r>
      <w:r w:rsidR="00715E61" w:rsidRPr="00BE6B00">
        <w:rPr>
          <w:rFonts w:cstheme="minorHAnsi"/>
          <w:b/>
          <w:lang w:val="en-US"/>
        </w:rPr>
        <w:t>The controversy over #</w:t>
      </w:r>
      <w:proofErr w:type="spellStart"/>
      <w:r w:rsidR="00715E61" w:rsidRPr="00BE6B00">
        <w:rPr>
          <w:rFonts w:cstheme="minorHAnsi"/>
          <w:b/>
          <w:lang w:val="en-US"/>
        </w:rPr>
        <w:t>vonhier</w:t>
      </w:r>
      <w:proofErr w:type="spellEnd"/>
      <w:r w:rsidR="00715E61" w:rsidRPr="00BE6B00">
        <w:rPr>
          <w:rFonts w:cstheme="minorHAnsi"/>
          <w:b/>
          <w:lang w:val="en-US"/>
        </w:rPr>
        <w:t>: Constructions of the question of origin in the post-migrant society – A qualitative analysis of Twitter</w:t>
      </w:r>
    </w:p>
    <w:p w14:paraId="6C6F5516" w14:textId="27D187B2" w:rsidR="004057B9" w:rsidRPr="004057B9" w:rsidRDefault="00884405" w:rsidP="004057B9">
      <w:pPr>
        <w:spacing w:after="0" w:line="360" w:lineRule="auto"/>
        <w:rPr>
          <w:rFonts w:cstheme="minorHAnsi"/>
        </w:rPr>
      </w:pPr>
      <w:r w:rsidRPr="004057B9">
        <w:rPr>
          <w:rFonts w:cstheme="minorHAnsi"/>
          <w:b/>
          <w:bCs/>
        </w:rPr>
        <w:lastRenderedPageBreak/>
        <w:t xml:space="preserve">Anna </w:t>
      </w:r>
      <w:proofErr w:type="spellStart"/>
      <w:r w:rsidRPr="004057B9">
        <w:rPr>
          <w:rFonts w:cstheme="minorHAnsi"/>
          <w:b/>
          <w:bCs/>
        </w:rPr>
        <w:t>Mavrikou</w:t>
      </w:r>
      <w:proofErr w:type="spellEnd"/>
      <w:r w:rsidR="004057B9">
        <w:rPr>
          <w:rFonts w:cstheme="minorHAnsi"/>
          <w:b/>
          <w:bCs/>
        </w:rPr>
        <w:t xml:space="preserve"> </w:t>
      </w:r>
      <w:r w:rsidR="004057B9" w:rsidRPr="004057B9">
        <w:rPr>
          <w:rFonts w:cstheme="minorHAnsi"/>
          <w:color w:val="000000" w:themeColor="text1"/>
        </w:rPr>
        <w:t xml:space="preserve">(MA </w:t>
      </w:r>
      <w:proofErr w:type="spellStart"/>
      <w:r w:rsidR="004057B9" w:rsidRPr="004057B9">
        <w:rPr>
          <w:rFonts w:cstheme="minorHAnsi"/>
          <w:color w:val="000000" w:themeColor="text1"/>
        </w:rPr>
        <w:t>student</w:t>
      </w:r>
      <w:proofErr w:type="spellEnd"/>
      <w:r w:rsidR="004057B9" w:rsidRPr="004057B9">
        <w:rPr>
          <w:rFonts w:cstheme="minorHAnsi"/>
          <w:color w:val="000000" w:themeColor="text1"/>
        </w:rPr>
        <w:t xml:space="preserve">, DAAD </w:t>
      </w:r>
      <w:proofErr w:type="spellStart"/>
      <w:r w:rsidR="004057B9" w:rsidRPr="004057B9">
        <w:rPr>
          <w:rFonts w:cstheme="minorHAnsi"/>
          <w:color w:val="000000" w:themeColor="text1"/>
        </w:rPr>
        <w:t>Scholarship</w:t>
      </w:r>
      <w:proofErr w:type="spellEnd"/>
      <w:r w:rsidR="004057B9" w:rsidRPr="004057B9">
        <w:rPr>
          <w:rFonts w:cstheme="minorHAnsi"/>
          <w:color w:val="000000" w:themeColor="text1"/>
        </w:rPr>
        <w:t xml:space="preserve"> Holder &amp; Onassis Scholar)</w:t>
      </w:r>
      <w:r w:rsidRPr="004057B9">
        <w:rPr>
          <w:rFonts w:cstheme="minorHAnsi"/>
        </w:rPr>
        <w:br/>
        <w:t>Freie Universität Berlin</w:t>
      </w:r>
      <w:r w:rsidR="004057B9">
        <w:rPr>
          <w:rFonts w:cstheme="minorHAnsi"/>
        </w:rPr>
        <w:t xml:space="preserve"> </w:t>
      </w:r>
      <w:r w:rsidRPr="004057B9">
        <w:rPr>
          <w:rFonts w:cstheme="minorHAnsi"/>
        </w:rPr>
        <w:br/>
      </w:r>
      <w:r w:rsidR="004057B9" w:rsidRPr="00BE6B00">
        <w:rPr>
          <w:rFonts w:cstheme="minorHAnsi"/>
        </w:rPr>
        <w:t>Institut für Publizistik und Kommunikationswissenschaft</w:t>
      </w:r>
    </w:p>
    <w:p w14:paraId="06202CE6" w14:textId="77777777" w:rsidR="004057B9" w:rsidRPr="004057B9" w:rsidRDefault="004057B9" w:rsidP="004057B9">
      <w:pPr>
        <w:spacing w:after="0" w:line="360" w:lineRule="auto"/>
        <w:rPr>
          <w:rFonts w:cstheme="minorHAnsi"/>
          <w:lang w:val="en-US"/>
        </w:rPr>
      </w:pPr>
      <w:proofErr w:type="spellStart"/>
      <w:r w:rsidRPr="004057B9">
        <w:rPr>
          <w:rFonts w:cstheme="minorHAnsi"/>
          <w:lang w:val="en-US"/>
        </w:rPr>
        <w:t>Garystr</w:t>
      </w:r>
      <w:proofErr w:type="spellEnd"/>
      <w:r w:rsidRPr="004057B9">
        <w:rPr>
          <w:rFonts w:cstheme="minorHAnsi"/>
          <w:lang w:val="en-US"/>
        </w:rPr>
        <w:t>. 55</w:t>
      </w:r>
    </w:p>
    <w:p w14:paraId="1B67296E" w14:textId="77777777" w:rsidR="004057B9" w:rsidRPr="004057B9" w:rsidRDefault="004057B9" w:rsidP="004057B9">
      <w:pPr>
        <w:spacing w:after="0" w:line="360" w:lineRule="auto"/>
        <w:rPr>
          <w:rFonts w:cstheme="minorHAnsi"/>
          <w:lang w:val="en-US"/>
        </w:rPr>
      </w:pPr>
      <w:r w:rsidRPr="004057B9">
        <w:rPr>
          <w:rFonts w:cstheme="minorHAnsi"/>
          <w:lang w:val="en-US"/>
        </w:rPr>
        <w:t>14195 Berlin</w:t>
      </w:r>
    </w:p>
    <w:p w14:paraId="480867D2" w14:textId="76F3309F" w:rsidR="00884405" w:rsidRDefault="004057B9" w:rsidP="003D0838">
      <w:pPr>
        <w:spacing w:after="0" w:line="360" w:lineRule="auto"/>
        <w:rPr>
          <w:rFonts w:cstheme="minorHAnsi"/>
          <w:lang w:val="en-US"/>
        </w:rPr>
      </w:pPr>
      <w:r w:rsidRPr="004057B9">
        <w:rPr>
          <w:rFonts w:cstheme="minorHAnsi"/>
          <w:lang w:val="en-US"/>
        </w:rPr>
        <w:t>E</w:t>
      </w:r>
      <w:r>
        <w:rPr>
          <w:rFonts w:cstheme="minorHAnsi"/>
          <w:lang w:val="en-US"/>
        </w:rPr>
        <w:t xml:space="preserve">mail: </w:t>
      </w:r>
      <w:hyperlink r:id="rId8" w:history="1">
        <w:r w:rsidR="003D0838" w:rsidRPr="00BE6B00">
          <w:rPr>
            <w:rStyle w:val="Hyperlink"/>
            <w:rFonts w:cstheme="minorHAnsi"/>
            <w:lang w:val="en-US"/>
          </w:rPr>
          <w:t>a.mavrikou@fu-berlin.de</w:t>
        </w:r>
      </w:hyperlink>
      <w:r w:rsidR="003D0838" w:rsidRPr="00BE6B00">
        <w:rPr>
          <w:rFonts w:cstheme="minorHAnsi"/>
          <w:lang w:val="en-US"/>
        </w:rPr>
        <w:t xml:space="preserve"> </w:t>
      </w:r>
    </w:p>
    <w:p w14:paraId="6A9D3B6C" w14:textId="77777777" w:rsidR="001208AF" w:rsidRDefault="001208AF" w:rsidP="003D0838">
      <w:pPr>
        <w:spacing w:after="0" w:line="360" w:lineRule="auto"/>
        <w:rPr>
          <w:rFonts w:cstheme="minorHAnsi"/>
          <w:lang w:val="en-US"/>
        </w:rPr>
      </w:pPr>
    </w:p>
    <w:p w14:paraId="72E909E4" w14:textId="77777777" w:rsidR="001208AF" w:rsidRDefault="001208AF" w:rsidP="001208AF">
      <w:pPr>
        <w:pStyle w:val="BodyA"/>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firstLine="567"/>
        <w:jc w:val="both"/>
        <w:rPr>
          <w:rStyle w:val="None"/>
          <w:rFonts w:ascii="Times New Roman" w:eastAsia="Times New Roman" w:hAnsi="Times New Roman" w:cs="Times New Roman"/>
        </w:rPr>
      </w:pPr>
      <w:bookmarkStart w:id="0" w:name="_GoBack"/>
      <w:bookmarkEnd w:id="0"/>
      <w:r>
        <w:rPr>
          <w:rStyle w:val="None"/>
          <w:rFonts w:ascii="Times New Roman" w:hAnsi="Times New Roman"/>
        </w:rPr>
        <w:t xml:space="preserve">Migration and diversity is one of the issues that deeply divides the German society. Debates on migration in media and politics often highlight all differences in terms of threats and potential loss of German identity. In recent years intensive media debates on how Muslim people belong to Germany; women wearing the veil, building mosques, risks of terrorism and migration, crime and </w:t>
      </w:r>
      <w:proofErr w:type="gramStart"/>
      <w:r>
        <w:rPr>
          <w:rStyle w:val="None"/>
          <w:rFonts w:ascii="Times New Roman" w:hAnsi="Times New Roman"/>
        </w:rPr>
        <w:t>foreigners,  unwillingness</w:t>
      </w:r>
      <w:proofErr w:type="gramEnd"/>
      <w:r>
        <w:rPr>
          <w:rStyle w:val="None"/>
          <w:rFonts w:ascii="Times New Roman" w:hAnsi="Times New Roman"/>
        </w:rPr>
        <w:t xml:space="preserve"> of integration into the local societies and their backward education became repeated themes in media discourses. Even in terms of positive coverage of migrants, they are often attributed to economic and financial gains, beyond their own cultural input or possible enrichment of society.</w:t>
      </w:r>
    </w:p>
    <w:p w14:paraId="712D6FE1" w14:textId="77777777" w:rsidR="001208AF" w:rsidRDefault="001208AF" w:rsidP="001208AF">
      <w:pPr>
        <w:pStyle w:val="BodyA"/>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firstLine="567"/>
        <w:jc w:val="both"/>
        <w:rPr>
          <w:rStyle w:val="None"/>
          <w:rFonts w:ascii="Times New Roman" w:eastAsia="Times New Roman" w:hAnsi="Times New Roman" w:cs="Times New Roman"/>
        </w:rPr>
      </w:pPr>
      <w:r>
        <w:rPr>
          <w:rStyle w:val="None"/>
          <w:rFonts w:ascii="Times New Roman" w:hAnsi="Times New Roman"/>
        </w:rPr>
        <w:t>Between the generation of the “guest workers” and the latest migration trends, generations of so-called “New” Germans were born (</w:t>
      </w:r>
      <w:proofErr w:type="spellStart"/>
      <w:r>
        <w:rPr>
          <w:rStyle w:val="None"/>
          <w:rFonts w:ascii="Times New Roman" w:hAnsi="Times New Roman"/>
        </w:rPr>
        <w:t>Bozdağ</w:t>
      </w:r>
      <w:proofErr w:type="spellEnd"/>
      <w:r>
        <w:rPr>
          <w:rStyle w:val="None"/>
          <w:rFonts w:ascii="Times New Roman" w:hAnsi="Times New Roman"/>
        </w:rPr>
        <w:t xml:space="preserve">, 2014; </w:t>
      </w:r>
      <w:proofErr w:type="spellStart"/>
      <w:r>
        <w:rPr>
          <w:rStyle w:val="None"/>
          <w:rFonts w:ascii="Times New Roman" w:hAnsi="Times New Roman"/>
        </w:rPr>
        <w:t>Treibel</w:t>
      </w:r>
      <w:proofErr w:type="spellEnd"/>
      <w:r>
        <w:rPr>
          <w:rStyle w:val="None"/>
          <w:rFonts w:ascii="Times New Roman" w:hAnsi="Times New Roman"/>
        </w:rPr>
        <w:t>, 2017). This term refers to people whose parents or grandparents have a migration history, but they were born and/or raised in Germany. In official statistics, these are Germans with migration background, whose successful integration is a high policy priority. As often their names or their appearance distinguish them from an ethnic point of view, some exclusionary public discourses or media phrases consider them not as “normal” or mainstream Germans. The ethnic perception of Germans does not easily associate non-blond and non-</w:t>
      </w:r>
      <w:proofErr w:type="gramStart"/>
      <w:r>
        <w:rPr>
          <w:rStyle w:val="None"/>
          <w:rFonts w:ascii="Times New Roman" w:hAnsi="Times New Roman"/>
        </w:rPr>
        <w:t>blue eyed</w:t>
      </w:r>
      <w:proofErr w:type="gramEnd"/>
      <w:r>
        <w:rPr>
          <w:rStyle w:val="None"/>
          <w:rFonts w:ascii="Times New Roman" w:hAnsi="Times New Roman"/>
        </w:rPr>
        <w:t xml:space="preserve"> person with the German identity (</w:t>
      </w:r>
      <w:proofErr w:type="spellStart"/>
      <w:r>
        <w:rPr>
          <w:rStyle w:val="None"/>
          <w:rFonts w:ascii="Times New Roman" w:hAnsi="Times New Roman"/>
        </w:rPr>
        <w:t>Rupnow</w:t>
      </w:r>
      <w:proofErr w:type="spellEnd"/>
      <w:r>
        <w:rPr>
          <w:rStyle w:val="None"/>
          <w:rFonts w:ascii="Times New Roman" w:hAnsi="Times New Roman"/>
        </w:rPr>
        <w:t xml:space="preserve">, 2018; Will, 2019). </w:t>
      </w:r>
    </w:p>
    <w:p w14:paraId="7729F4E9"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one"/>
          <w:rFonts w:ascii="Times New Roman" w:eastAsia="Times New Roman" w:hAnsi="Times New Roman" w:cs="Times New Roman"/>
          <w:b/>
          <w:bCs/>
        </w:rPr>
      </w:pPr>
      <w:r>
        <w:rPr>
          <w:rStyle w:val="None"/>
          <w:rFonts w:ascii="Times New Roman" w:hAnsi="Times New Roman"/>
          <w:b/>
          <w:bCs/>
        </w:rPr>
        <w:t>Theory</w:t>
      </w:r>
    </w:p>
    <w:p w14:paraId="1FA57752"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firstLine="567"/>
        <w:jc w:val="both"/>
        <w:rPr>
          <w:rStyle w:val="None"/>
          <w:rFonts w:ascii="Times New Roman" w:eastAsia="Times New Roman" w:hAnsi="Times New Roman" w:cs="Times New Roman"/>
        </w:rPr>
      </w:pPr>
      <w:r>
        <w:rPr>
          <w:rStyle w:val="None"/>
          <w:rFonts w:ascii="Times New Roman" w:hAnsi="Times New Roman"/>
        </w:rPr>
        <w:t xml:space="preserve">As a country of immigration, Germany is now experiencing a process in which affiliations, national (collective) identities, participation and equality of opportunity are being renegotiated and adjusted in a post-migrant state, i.e. </w:t>
      </w:r>
      <w:r>
        <w:rPr>
          <w:rStyle w:val="None"/>
          <w:rFonts w:ascii="Times New Roman" w:hAnsi="Times New Roman"/>
          <w:i/>
          <w:iCs/>
        </w:rPr>
        <w:t xml:space="preserve">after </w:t>
      </w:r>
      <w:r>
        <w:rPr>
          <w:rStyle w:val="None"/>
          <w:rFonts w:ascii="Times New Roman" w:hAnsi="Times New Roman"/>
        </w:rPr>
        <w:t>migration has happened (</w:t>
      </w:r>
      <w:proofErr w:type="spellStart"/>
      <w:r>
        <w:rPr>
          <w:rStyle w:val="None"/>
          <w:rFonts w:ascii="Times New Roman" w:hAnsi="Times New Roman"/>
        </w:rPr>
        <w:t>Foroutan</w:t>
      </w:r>
      <w:proofErr w:type="spellEnd"/>
      <w:r>
        <w:rPr>
          <w:rStyle w:val="None"/>
          <w:rFonts w:ascii="Times New Roman" w:hAnsi="Times New Roman"/>
        </w:rPr>
        <w:t>, 201</w:t>
      </w:r>
      <w:r>
        <w:rPr>
          <w:rStyle w:val="None"/>
          <w:rFonts w:ascii="Times New Roman" w:hAnsi="Times New Roman"/>
          <w:lang w:val="de-DE"/>
        </w:rPr>
        <w:t>6</w:t>
      </w:r>
      <w:r>
        <w:rPr>
          <w:rStyle w:val="None"/>
          <w:rFonts w:ascii="Times New Roman" w:hAnsi="Times New Roman"/>
        </w:rPr>
        <w:t xml:space="preserve">). </w:t>
      </w:r>
      <w:proofErr w:type="spellStart"/>
      <w:r>
        <w:rPr>
          <w:rStyle w:val="None"/>
          <w:rFonts w:ascii="Times New Roman" w:hAnsi="Times New Roman"/>
          <w:lang w:val="de-DE"/>
        </w:rPr>
        <w:t>Realising</w:t>
      </w:r>
      <w:proofErr w:type="spellEnd"/>
      <w:r>
        <w:rPr>
          <w:rStyle w:val="None"/>
          <w:rFonts w:ascii="Times New Roman" w:hAnsi="Times New Roman"/>
        </w:rPr>
        <w:t xml:space="preserve"> that Germany is an immigration country was slow and conservative; only in 2001 Germany confessed for the first time officially that it is an immigration country. Despite of gradually liberalizing the nationality laws, the political culture –amid the rise of the right-wing attitudes and parties- lag behind. </w:t>
      </w:r>
    </w:p>
    <w:p w14:paraId="29DF5530"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firstLine="567"/>
        <w:jc w:val="both"/>
        <w:rPr>
          <w:rStyle w:val="None"/>
          <w:rFonts w:ascii="Times New Roman" w:eastAsia="Times New Roman" w:hAnsi="Times New Roman" w:cs="Times New Roman"/>
        </w:rPr>
      </w:pPr>
      <w:r>
        <w:rPr>
          <w:rStyle w:val="None"/>
          <w:rFonts w:ascii="Times New Roman" w:hAnsi="Times New Roman"/>
        </w:rPr>
        <w:t xml:space="preserve">In a predominantly White society, ethnic heterogeneity is growing. This is closely linked to theories of race and the concept of perceptions of ethnic hierarchies.  People are implicitly ranked in ethnic terms, where North Europeans are at the top of the list, East and South Europeans second, Asians third and Africans and Middle Eastern/Islamic at the fourth place </w:t>
      </w:r>
      <w:r>
        <w:rPr>
          <w:rStyle w:val="None"/>
          <w:rFonts w:ascii="Times New Roman" w:hAnsi="Times New Roman"/>
        </w:rPr>
        <w:lastRenderedPageBreak/>
        <w:t>(</w:t>
      </w:r>
      <w:proofErr w:type="spellStart"/>
      <w:r>
        <w:rPr>
          <w:rStyle w:val="None"/>
          <w:rFonts w:ascii="Times New Roman" w:hAnsi="Times New Roman"/>
        </w:rPr>
        <w:t>Hangedoorn</w:t>
      </w:r>
      <w:proofErr w:type="spellEnd"/>
      <w:r>
        <w:rPr>
          <w:rStyle w:val="None"/>
          <w:rFonts w:ascii="Times New Roman" w:hAnsi="Times New Roman"/>
        </w:rPr>
        <w:t xml:space="preserve">, 1995; </w:t>
      </w:r>
      <w:proofErr w:type="spellStart"/>
      <w:r>
        <w:rPr>
          <w:rStyle w:val="None"/>
          <w:rFonts w:ascii="Times New Roman" w:hAnsi="Times New Roman"/>
        </w:rPr>
        <w:t>Römhild</w:t>
      </w:r>
      <w:proofErr w:type="spellEnd"/>
      <w:r>
        <w:rPr>
          <w:rStyle w:val="None"/>
          <w:rFonts w:ascii="Times New Roman" w:hAnsi="Times New Roman"/>
        </w:rPr>
        <w:t xml:space="preserve">, 2015; </w:t>
      </w:r>
      <w:proofErr w:type="spellStart"/>
      <w:r>
        <w:rPr>
          <w:rStyle w:val="None"/>
          <w:rFonts w:ascii="Times New Roman" w:hAnsi="Times New Roman"/>
        </w:rPr>
        <w:t>Snellman</w:t>
      </w:r>
      <w:proofErr w:type="spellEnd"/>
      <w:r>
        <w:rPr>
          <w:rStyle w:val="None"/>
          <w:rFonts w:ascii="Times New Roman" w:hAnsi="Times New Roman"/>
        </w:rPr>
        <w:t xml:space="preserve"> &amp; </w:t>
      </w:r>
      <w:proofErr w:type="spellStart"/>
      <w:r>
        <w:rPr>
          <w:rStyle w:val="None"/>
          <w:rFonts w:ascii="Times New Roman" w:hAnsi="Times New Roman"/>
        </w:rPr>
        <w:t>Ekehammer</w:t>
      </w:r>
      <w:proofErr w:type="spellEnd"/>
      <w:r>
        <w:rPr>
          <w:rStyle w:val="None"/>
          <w:rFonts w:ascii="Times New Roman" w:hAnsi="Times New Roman"/>
        </w:rPr>
        <w:t>, 2005). An example: Stating someone’s background from Germany or the Netherlands does not equate stating that someone comes from Turkey or Iran. This confirms research on stereotyping, Islamophobia and racism</w:t>
      </w:r>
      <w:r>
        <w:rPr>
          <w:rStyle w:val="None"/>
          <w:rFonts w:ascii="Times New Roman" w:hAnsi="Times New Roman"/>
          <w:lang w:val="de-DE"/>
        </w:rPr>
        <w:t>.</w:t>
      </w:r>
    </w:p>
    <w:p w14:paraId="77D3E874"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one"/>
          <w:rFonts w:ascii="Times New Roman" w:eastAsia="Times New Roman" w:hAnsi="Times New Roman" w:cs="Times New Roman"/>
          <w:b/>
          <w:bCs/>
        </w:rPr>
      </w:pPr>
      <w:r>
        <w:rPr>
          <w:rStyle w:val="None"/>
          <w:rFonts w:ascii="Times New Roman" w:hAnsi="Times New Roman"/>
          <w:b/>
          <w:bCs/>
        </w:rPr>
        <w:t>Reconstructing the case #</w:t>
      </w:r>
      <w:proofErr w:type="spellStart"/>
      <w:r>
        <w:rPr>
          <w:rStyle w:val="None"/>
          <w:rFonts w:ascii="Times New Roman" w:hAnsi="Times New Roman"/>
          <w:b/>
          <w:bCs/>
        </w:rPr>
        <w:t>vonhier</w:t>
      </w:r>
      <w:proofErr w:type="spellEnd"/>
      <w:r>
        <w:rPr>
          <w:rStyle w:val="None"/>
          <w:rFonts w:ascii="Times New Roman" w:hAnsi="Times New Roman"/>
          <w:b/>
          <w:bCs/>
        </w:rPr>
        <w:t xml:space="preserve"> </w:t>
      </w:r>
    </w:p>
    <w:p w14:paraId="17899810"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firstLine="567"/>
        <w:jc w:val="both"/>
        <w:rPr>
          <w:rStyle w:val="None"/>
          <w:rFonts w:ascii="Times New Roman" w:eastAsia="Times New Roman" w:hAnsi="Times New Roman" w:cs="Times New Roman"/>
          <w:b/>
          <w:bCs/>
        </w:rPr>
      </w:pPr>
      <w:r>
        <w:rPr>
          <w:rStyle w:val="None"/>
          <w:rFonts w:ascii="Times New Roman" w:hAnsi="Times New Roman"/>
        </w:rPr>
        <w:t>The case of #</w:t>
      </w:r>
      <w:proofErr w:type="spellStart"/>
      <w:r>
        <w:rPr>
          <w:rStyle w:val="None"/>
          <w:rFonts w:ascii="Times New Roman" w:hAnsi="Times New Roman"/>
        </w:rPr>
        <w:t>vonhier</w:t>
      </w:r>
      <w:proofErr w:type="spellEnd"/>
      <w:r>
        <w:rPr>
          <w:rStyle w:val="None"/>
          <w:rFonts w:ascii="Times New Roman" w:hAnsi="Times New Roman"/>
          <w:lang w:val="de-DE"/>
        </w:rPr>
        <w:t xml:space="preserve"> </w:t>
      </w:r>
      <w:proofErr w:type="spellStart"/>
      <w:r>
        <w:rPr>
          <w:rStyle w:val="None"/>
          <w:rFonts w:ascii="Times New Roman" w:hAnsi="Times New Roman"/>
          <w:lang w:val="de-DE"/>
        </w:rPr>
        <w:t>refers</w:t>
      </w:r>
      <w:proofErr w:type="spellEnd"/>
      <w:r>
        <w:rPr>
          <w:rStyle w:val="None"/>
          <w:rFonts w:ascii="Times New Roman" w:hAnsi="Times New Roman"/>
          <w:lang w:val="de-DE"/>
        </w:rPr>
        <w:t xml:space="preserve"> </w:t>
      </w:r>
      <w:proofErr w:type="spellStart"/>
      <w:r>
        <w:rPr>
          <w:rStyle w:val="None"/>
          <w:rFonts w:ascii="Times New Roman" w:hAnsi="Times New Roman"/>
          <w:lang w:val="de-DE"/>
        </w:rPr>
        <w:t>to</w:t>
      </w:r>
      <w:proofErr w:type="spellEnd"/>
      <w:r>
        <w:rPr>
          <w:rStyle w:val="None"/>
          <w:rFonts w:ascii="Times New Roman" w:hAnsi="Times New Roman"/>
          <w:lang w:val="de-DE"/>
        </w:rPr>
        <w:t xml:space="preserve"> </w:t>
      </w:r>
      <w:r>
        <w:rPr>
          <w:rStyle w:val="None"/>
          <w:rFonts w:ascii="Times New Roman" w:hAnsi="Times New Roman"/>
        </w:rPr>
        <w:t>a discussion on Twitter regarding the meaning and relevance of the question on origin (“</w:t>
      </w:r>
      <w:proofErr w:type="spellStart"/>
      <w:r>
        <w:rPr>
          <w:rStyle w:val="None"/>
          <w:rFonts w:ascii="Times New Roman" w:hAnsi="Times New Roman"/>
        </w:rPr>
        <w:t>Herkunftsfrage</w:t>
      </w:r>
      <w:proofErr w:type="spellEnd"/>
      <w:r>
        <w:rPr>
          <w:rStyle w:val="None"/>
          <w:rFonts w:ascii="Times New Roman" w:hAnsi="Times New Roman"/>
        </w:rPr>
        <w:t>”) in German society (</w:t>
      </w:r>
      <w:proofErr w:type="spellStart"/>
      <w:r>
        <w:rPr>
          <w:rStyle w:val="None"/>
          <w:rFonts w:ascii="Times New Roman" w:hAnsi="Times New Roman"/>
        </w:rPr>
        <w:t>Treibel</w:t>
      </w:r>
      <w:proofErr w:type="spellEnd"/>
      <w:r>
        <w:rPr>
          <w:rStyle w:val="None"/>
          <w:rFonts w:ascii="Times New Roman" w:hAnsi="Times New Roman"/>
        </w:rPr>
        <w:t xml:space="preserve">, 2017; </w:t>
      </w:r>
      <w:proofErr w:type="spellStart"/>
      <w:r>
        <w:rPr>
          <w:rStyle w:val="None"/>
          <w:rFonts w:ascii="Times New Roman" w:hAnsi="Times New Roman"/>
        </w:rPr>
        <w:t>Yildiz</w:t>
      </w:r>
      <w:proofErr w:type="spellEnd"/>
      <w:r>
        <w:rPr>
          <w:rStyle w:val="None"/>
          <w:rFonts w:ascii="Times New Roman" w:hAnsi="Times New Roman"/>
        </w:rPr>
        <w:t xml:space="preserve">, 2015). The persistent questioning by one of the jury </w:t>
      </w:r>
      <w:proofErr w:type="gramStart"/>
      <w:r>
        <w:rPr>
          <w:rStyle w:val="None"/>
          <w:rFonts w:ascii="Times New Roman" w:hAnsi="Times New Roman"/>
        </w:rPr>
        <w:t>referee</w:t>
      </w:r>
      <w:proofErr w:type="gramEnd"/>
      <w:r>
        <w:rPr>
          <w:rStyle w:val="None"/>
          <w:rFonts w:ascii="Times New Roman" w:hAnsi="Times New Roman"/>
        </w:rPr>
        <w:t xml:space="preserve"> (Dieter Bohlen) on the background of the young Asian-looking participants in the German talent show (</w:t>
      </w:r>
      <w:r>
        <w:rPr>
          <w:rStyle w:val="None"/>
          <w:rFonts w:ascii="Times New Roman" w:hAnsi="Times New Roman"/>
          <w:lang w:val="de-DE"/>
        </w:rPr>
        <w:t>Das Supertalent 2018</w:t>
      </w:r>
      <w:r>
        <w:rPr>
          <w:rStyle w:val="None"/>
          <w:rFonts w:ascii="Times New Roman" w:hAnsi="Times New Roman"/>
        </w:rPr>
        <w:t>) triggered a debate on defining who Germans are. While the replies of the girl repeatedly stated her immediate town, she knew and grew up in, the connotations behind his questions as refusing to accept the Germaneness of the young participant fueled emotional and sarcastic tweets.</w:t>
      </w:r>
    </w:p>
    <w:p w14:paraId="149B6346"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firstLine="567"/>
        <w:jc w:val="both"/>
        <w:rPr>
          <w:rStyle w:val="None"/>
          <w:rFonts w:ascii="Times New Roman" w:eastAsia="Times New Roman" w:hAnsi="Times New Roman" w:cs="Times New Roman"/>
        </w:rPr>
      </w:pPr>
      <w:r>
        <w:rPr>
          <w:rStyle w:val="None"/>
          <w:rFonts w:ascii="Times New Roman" w:hAnsi="Times New Roman"/>
        </w:rPr>
        <w:t>The aim of this paper is to analyze the media controversy on the hashtag #</w:t>
      </w:r>
      <w:proofErr w:type="spellStart"/>
      <w:r>
        <w:rPr>
          <w:rStyle w:val="None"/>
          <w:rFonts w:ascii="Times New Roman" w:hAnsi="Times New Roman"/>
        </w:rPr>
        <w:t>vonhier</w:t>
      </w:r>
      <w:proofErr w:type="spellEnd"/>
      <w:r>
        <w:rPr>
          <w:rStyle w:val="None"/>
          <w:rFonts w:ascii="Times New Roman" w:hAnsi="Times New Roman"/>
          <w:lang w:val="de-DE"/>
        </w:rPr>
        <w:t xml:space="preserve"> and </w:t>
      </w:r>
      <w:r>
        <w:rPr>
          <w:rStyle w:val="None"/>
          <w:rFonts w:ascii="Times New Roman" w:hAnsi="Times New Roman"/>
        </w:rPr>
        <w:t>to contextualize it within the societal debate on the appropriateness to ask about the migrants’ origin. #</w:t>
      </w:r>
      <w:proofErr w:type="spellStart"/>
      <w:r>
        <w:rPr>
          <w:rStyle w:val="None"/>
          <w:rFonts w:ascii="Times New Roman" w:hAnsi="Times New Roman"/>
        </w:rPr>
        <w:t>Vonhier</w:t>
      </w:r>
      <w:proofErr w:type="spellEnd"/>
      <w:r>
        <w:rPr>
          <w:rStyle w:val="None"/>
          <w:rFonts w:ascii="Times New Roman" w:hAnsi="Times New Roman"/>
        </w:rPr>
        <w:t xml:space="preserve"> became fast a popular hashtag on Twitter under which people started to share their own personal experiences regarding this question. It also raised a discussion in the leading German media</w:t>
      </w:r>
      <w:r>
        <w:rPr>
          <w:rStyle w:val="None"/>
          <w:rFonts w:ascii="Times New Roman" w:hAnsi="Times New Roman"/>
          <w:lang w:val="de-DE"/>
        </w:rPr>
        <w:t xml:space="preserve"> (</w:t>
      </w:r>
      <w:proofErr w:type="spellStart"/>
      <w:r>
        <w:rPr>
          <w:rStyle w:val="None"/>
          <w:rFonts w:ascii="Times New Roman" w:hAnsi="Times New Roman"/>
          <w:lang w:val="de-DE"/>
        </w:rPr>
        <w:t>eg</w:t>
      </w:r>
      <w:proofErr w:type="spellEnd"/>
      <w:r>
        <w:rPr>
          <w:rStyle w:val="None"/>
          <w:rFonts w:ascii="Times New Roman" w:hAnsi="Times New Roman"/>
          <w:lang w:val="de-DE"/>
        </w:rPr>
        <w:t xml:space="preserve">. Frankfurter allgemeine Zeitung, Die Welt, Die Zeit). </w:t>
      </w:r>
    </w:p>
    <w:p w14:paraId="283C3685"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firstLine="567"/>
        <w:jc w:val="both"/>
        <w:rPr>
          <w:rStyle w:val="None"/>
          <w:rFonts w:ascii="Times New Roman" w:eastAsia="Times New Roman" w:hAnsi="Times New Roman" w:cs="Times New Roman"/>
        </w:rPr>
      </w:pPr>
      <w:r>
        <w:rPr>
          <w:rStyle w:val="None"/>
          <w:rFonts w:ascii="Times New Roman" w:hAnsi="Times New Roman"/>
        </w:rPr>
        <w:t>To further shed light on the connections between the perspectives of the post-migrant society and the #</w:t>
      </w:r>
      <w:proofErr w:type="spellStart"/>
      <w:r>
        <w:rPr>
          <w:rStyle w:val="None"/>
          <w:rFonts w:ascii="Times New Roman" w:hAnsi="Times New Roman"/>
        </w:rPr>
        <w:t>vonhier</w:t>
      </w:r>
      <w:proofErr w:type="spellEnd"/>
      <w:r>
        <w:rPr>
          <w:rStyle w:val="None"/>
          <w:rFonts w:ascii="Times New Roman" w:hAnsi="Times New Roman"/>
        </w:rPr>
        <w:t xml:space="preserve"> controversy this paper has two research questions: </w:t>
      </w:r>
    </w:p>
    <w:p w14:paraId="290447BC"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one"/>
          <w:rFonts w:ascii="Times New Roman" w:eastAsia="Times New Roman" w:hAnsi="Times New Roman" w:cs="Times New Roman"/>
        </w:rPr>
      </w:pPr>
      <w:r>
        <w:rPr>
          <w:rStyle w:val="None"/>
          <w:rFonts w:ascii="Times New Roman" w:hAnsi="Times New Roman"/>
        </w:rPr>
        <w:t>RQ1: What is the relevance of #</w:t>
      </w:r>
      <w:proofErr w:type="spellStart"/>
      <w:r>
        <w:rPr>
          <w:rStyle w:val="None"/>
          <w:rFonts w:ascii="Times New Roman" w:hAnsi="Times New Roman"/>
        </w:rPr>
        <w:t>vonhier</w:t>
      </w:r>
      <w:proofErr w:type="spellEnd"/>
      <w:r>
        <w:rPr>
          <w:rStyle w:val="None"/>
          <w:rFonts w:ascii="Times New Roman" w:hAnsi="Times New Roman"/>
        </w:rPr>
        <w:t xml:space="preserve"> in the German public discourse? </w:t>
      </w:r>
    </w:p>
    <w:p w14:paraId="2440D2B6"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one"/>
          <w:rFonts w:ascii="Times New Roman" w:eastAsia="Times New Roman" w:hAnsi="Times New Roman" w:cs="Times New Roman"/>
        </w:rPr>
      </w:pPr>
      <w:r>
        <w:rPr>
          <w:rStyle w:val="None"/>
          <w:rFonts w:ascii="Times New Roman" w:hAnsi="Times New Roman"/>
        </w:rPr>
        <w:t>RQ2: How is the debate #</w:t>
      </w:r>
      <w:proofErr w:type="spellStart"/>
      <w:r>
        <w:rPr>
          <w:rStyle w:val="None"/>
          <w:rFonts w:ascii="Times New Roman" w:hAnsi="Times New Roman"/>
        </w:rPr>
        <w:t>vonhier</w:t>
      </w:r>
      <w:proofErr w:type="spellEnd"/>
      <w:r>
        <w:rPr>
          <w:rStyle w:val="None"/>
          <w:rFonts w:ascii="Times New Roman" w:hAnsi="Times New Roman"/>
        </w:rPr>
        <w:t xml:space="preserve"> constructed in 2019?</w:t>
      </w:r>
    </w:p>
    <w:p w14:paraId="65E05AAB" w14:textId="77777777" w:rsidR="001208AF" w:rsidRDefault="001208AF" w:rsidP="001208AF">
      <w:pPr>
        <w:pStyle w:val="Body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one"/>
          <w:rFonts w:ascii="Times New Roman" w:eastAsia="Times New Roman" w:hAnsi="Times New Roman" w:cs="Times New Roman"/>
          <w:b/>
          <w:bCs/>
        </w:rPr>
      </w:pPr>
      <w:r>
        <w:rPr>
          <w:rStyle w:val="None"/>
          <w:rFonts w:ascii="Times New Roman" w:hAnsi="Times New Roman"/>
          <w:b/>
          <w:bCs/>
        </w:rPr>
        <w:t xml:space="preserve">Methods </w:t>
      </w:r>
    </w:p>
    <w:p w14:paraId="6B03480E" w14:textId="77777777" w:rsidR="001208AF" w:rsidRDefault="001208AF" w:rsidP="001208AF">
      <w:pPr>
        <w:pStyle w:val="Body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firstLine="567"/>
        <w:jc w:val="both"/>
        <w:rPr>
          <w:rStyle w:val="None"/>
          <w:rFonts w:ascii="Times New Roman" w:eastAsia="Times New Roman" w:hAnsi="Times New Roman" w:cs="Times New Roman"/>
        </w:rPr>
      </w:pPr>
      <w:r>
        <w:rPr>
          <w:rStyle w:val="None"/>
          <w:rFonts w:ascii="Times New Roman" w:hAnsi="Times New Roman"/>
        </w:rPr>
        <w:t>Methodologically, the paper uses a qualitative content analysis of the most popular tweets of the hashtag #</w:t>
      </w:r>
      <w:proofErr w:type="spellStart"/>
      <w:r>
        <w:rPr>
          <w:rStyle w:val="None"/>
          <w:rFonts w:ascii="Times New Roman" w:hAnsi="Times New Roman"/>
        </w:rPr>
        <w:t>vonhier</w:t>
      </w:r>
      <w:proofErr w:type="spellEnd"/>
      <w:r>
        <w:rPr>
          <w:rStyle w:val="None"/>
          <w:rFonts w:ascii="Times New Roman" w:hAnsi="Times New Roman"/>
        </w:rPr>
        <w:t xml:space="preserve"> on Twitter within the timeframe 1. February 2019 until 1</w:t>
      </w:r>
      <w:r>
        <w:rPr>
          <w:rStyle w:val="None"/>
          <w:rFonts w:ascii="Times New Roman" w:hAnsi="Times New Roman"/>
          <w:lang w:val="de-DE"/>
        </w:rPr>
        <w:t>5</w:t>
      </w:r>
      <w:r>
        <w:rPr>
          <w:rStyle w:val="None"/>
          <w:rFonts w:ascii="Times New Roman" w:hAnsi="Times New Roman"/>
        </w:rPr>
        <w:t xml:space="preserve">. July 2019. Selection of Twitter is natural as the controversy started there, but also because Twitter helps users to come in touch with different point of views. Moreover, Twitter was the medium with which the journalists, who started the discussion, could reach the audience directly and in a more personal way (An, Cha, </w:t>
      </w:r>
      <w:proofErr w:type="spellStart"/>
      <w:r>
        <w:rPr>
          <w:rStyle w:val="None"/>
          <w:rFonts w:ascii="Times New Roman" w:hAnsi="Times New Roman"/>
        </w:rPr>
        <w:t>Gummadi</w:t>
      </w:r>
      <w:proofErr w:type="spellEnd"/>
      <w:r>
        <w:rPr>
          <w:rStyle w:val="None"/>
          <w:rFonts w:ascii="Times New Roman" w:hAnsi="Times New Roman"/>
        </w:rPr>
        <w:t xml:space="preserve"> &amp; </w:t>
      </w:r>
      <w:proofErr w:type="spellStart"/>
      <w:r>
        <w:rPr>
          <w:rStyle w:val="None"/>
          <w:rFonts w:ascii="Times New Roman" w:hAnsi="Times New Roman"/>
        </w:rPr>
        <w:t>Crowroft</w:t>
      </w:r>
      <w:proofErr w:type="spellEnd"/>
      <w:r>
        <w:rPr>
          <w:rStyle w:val="None"/>
          <w:rFonts w:ascii="Times New Roman" w:hAnsi="Times New Roman"/>
        </w:rPr>
        <w:t>, 2011). Using the hashtag people related the meaning of its narrative to their own personal experiences (Blevins, Lee, McCabe &amp; Edgerton, 2019).</w:t>
      </w:r>
    </w:p>
    <w:p w14:paraId="77F03D8A" w14:textId="77777777" w:rsidR="001208AF" w:rsidRDefault="001208AF" w:rsidP="001208AF">
      <w:pPr>
        <w:pStyle w:val="Body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firstLine="567"/>
        <w:jc w:val="both"/>
        <w:rPr>
          <w:rStyle w:val="None"/>
          <w:rFonts w:ascii="Times New Roman" w:eastAsia="Times New Roman" w:hAnsi="Times New Roman" w:cs="Times New Roman"/>
        </w:rPr>
      </w:pPr>
      <w:r>
        <w:rPr>
          <w:rStyle w:val="None"/>
          <w:rFonts w:ascii="Times New Roman" w:hAnsi="Times New Roman"/>
        </w:rPr>
        <w:t>For data collection the software “Scrape Storm” was used. Selection criteria of the tweets had to contain the hashtag #</w:t>
      </w:r>
      <w:proofErr w:type="spellStart"/>
      <w:r>
        <w:rPr>
          <w:rStyle w:val="None"/>
          <w:rFonts w:ascii="Times New Roman" w:hAnsi="Times New Roman"/>
        </w:rPr>
        <w:t>vonhier</w:t>
      </w:r>
      <w:proofErr w:type="spellEnd"/>
      <w:r>
        <w:rPr>
          <w:rStyle w:val="None"/>
          <w:rFonts w:ascii="Times New Roman" w:hAnsi="Times New Roman"/>
        </w:rPr>
        <w:t>. This resulted in 139 tweets which were ranked according to their popularity (represented by the likes)</w:t>
      </w:r>
      <w:r>
        <w:rPr>
          <w:rStyle w:val="None"/>
          <w:rFonts w:ascii="Times New Roman" w:hAnsi="Times New Roman"/>
          <w:lang w:val="de-DE"/>
        </w:rPr>
        <w:t>.</w:t>
      </w:r>
      <w:r>
        <w:rPr>
          <w:rStyle w:val="None"/>
          <w:rFonts w:ascii="Times New Roman" w:hAnsi="Times New Roman"/>
        </w:rPr>
        <w:t xml:space="preserve"> For this explorative qualitative study, I focused on the top 15 most popular tweets of #</w:t>
      </w:r>
      <w:proofErr w:type="spellStart"/>
      <w:r>
        <w:rPr>
          <w:rStyle w:val="None"/>
          <w:rFonts w:ascii="Times New Roman" w:hAnsi="Times New Roman"/>
        </w:rPr>
        <w:t>vonhier</w:t>
      </w:r>
      <w:proofErr w:type="spellEnd"/>
      <w:r>
        <w:rPr>
          <w:rStyle w:val="None"/>
          <w:rFonts w:ascii="Times New Roman" w:hAnsi="Times New Roman"/>
        </w:rPr>
        <w:t xml:space="preserve"> for building the typical categories using inductive approaches.</w:t>
      </w:r>
    </w:p>
    <w:p w14:paraId="5675CC18" w14:textId="77777777" w:rsidR="001208AF" w:rsidRDefault="001208AF" w:rsidP="001208AF">
      <w:pPr>
        <w:pStyle w:val="Body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one"/>
          <w:rFonts w:ascii="Times New Roman" w:eastAsia="Times New Roman" w:hAnsi="Times New Roman" w:cs="Times New Roman"/>
          <w:b/>
          <w:bCs/>
        </w:rPr>
      </w:pPr>
      <w:r>
        <w:rPr>
          <w:rStyle w:val="None"/>
          <w:rFonts w:ascii="Times New Roman" w:hAnsi="Times New Roman"/>
          <w:b/>
          <w:bCs/>
        </w:rPr>
        <w:t>Results</w:t>
      </w:r>
    </w:p>
    <w:p w14:paraId="0023A364"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firstLine="567"/>
        <w:jc w:val="both"/>
        <w:rPr>
          <w:rStyle w:val="None"/>
          <w:rFonts w:ascii="Times New Roman" w:eastAsia="Times New Roman" w:hAnsi="Times New Roman" w:cs="Times New Roman"/>
        </w:rPr>
      </w:pPr>
      <w:r>
        <w:rPr>
          <w:rStyle w:val="None"/>
          <w:rFonts w:ascii="Times New Roman" w:hAnsi="Times New Roman"/>
        </w:rPr>
        <w:lastRenderedPageBreak/>
        <w:t>The analysis indicate</w:t>
      </w:r>
      <w:r>
        <w:rPr>
          <w:rStyle w:val="None"/>
          <w:rFonts w:ascii="Times New Roman" w:hAnsi="Times New Roman"/>
          <w:lang w:val="de-DE"/>
        </w:rPr>
        <w:t>s</w:t>
      </w:r>
      <w:r>
        <w:rPr>
          <w:rStyle w:val="None"/>
          <w:rFonts w:ascii="Times New Roman" w:hAnsi="Times New Roman"/>
        </w:rPr>
        <w:t xml:space="preserve"> that tweets can be organized in two main groups. The first group describes their personal experiences with the question “Where are you from?” and explain how uncomfortable they felt, as the question actually is asked because it implies that they do not belong to the German society. The second group criticized the hypersensitivity of some people, and defended the validity of the question, as being not offensive. It rather shows curiosity and interest. What matters is the way someone asks. They highlight the importance of familiarity of someone’s own roots and identity.</w:t>
      </w:r>
    </w:p>
    <w:p w14:paraId="723FF1AA"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firstLine="567"/>
        <w:jc w:val="both"/>
        <w:rPr>
          <w:rStyle w:val="None"/>
          <w:rFonts w:ascii="Times New Roman" w:eastAsia="Times New Roman" w:hAnsi="Times New Roman" w:cs="Times New Roman"/>
        </w:rPr>
      </w:pPr>
      <w:r>
        <w:rPr>
          <w:rStyle w:val="None"/>
          <w:rFonts w:ascii="Times New Roman" w:hAnsi="Times New Roman"/>
        </w:rPr>
        <w:t>#</w:t>
      </w:r>
      <w:proofErr w:type="spellStart"/>
      <w:r>
        <w:rPr>
          <w:rStyle w:val="None"/>
          <w:rFonts w:ascii="Times New Roman" w:hAnsi="Times New Roman"/>
        </w:rPr>
        <w:t>Vonhier</w:t>
      </w:r>
      <w:proofErr w:type="spellEnd"/>
      <w:r>
        <w:rPr>
          <w:rStyle w:val="None"/>
          <w:rFonts w:ascii="Times New Roman" w:hAnsi="Times New Roman"/>
        </w:rPr>
        <w:t xml:space="preserve"> can be seen through the lens of a </w:t>
      </w:r>
      <w:proofErr w:type="spellStart"/>
      <w:r>
        <w:rPr>
          <w:rStyle w:val="None"/>
          <w:rFonts w:ascii="Times New Roman" w:hAnsi="Times New Roman"/>
        </w:rPr>
        <w:t>postmigrant</w:t>
      </w:r>
      <w:proofErr w:type="spellEnd"/>
      <w:r>
        <w:rPr>
          <w:rStyle w:val="None"/>
          <w:rFonts w:ascii="Times New Roman" w:hAnsi="Times New Roman"/>
        </w:rPr>
        <w:t xml:space="preserve"> society, as the dialogue started beyond the migration process. The evolving mediated narrative beyond the question of origin, became </w:t>
      </w:r>
      <w:proofErr w:type="spellStart"/>
      <w:r>
        <w:rPr>
          <w:rStyle w:val="None"/>
          <w:rFonts w:ascii="Times New Roman" w:hAnsi="Times New Roman"/>
        </w:rPr>
        <w:t>publically</w:t>
      </w:r>
      <w:proofErr w:type="spellEnd"/>
      <w:r>
        <w:rPr>
          <w:rStyle w:val="None"/>
          <w:rFonts w:ascii="Times New Roman" w:hAnsi="Times New Roman"/>
        </w:rPr>
        <w:t xml:space="preserve"> present through the interaction between the TV show (original question) and the online reactions on social media, which further on fed media discourses and pushed this into the wider society. #</w:t>
      </w:r>
      <w:proofErr w:type="spellStart"/>
      <w:r>
        <w:rPr>
          <w:rStyle w:val="None"/>
          <w:rFonts w:ascii="Times New Roman" w:hAnsi="Times New Roman"/>
        </w:rPr>
        <w:t>vonhier</w:t>
      </w:r>
      <w:proofErr w:type="spellEnd"/>
      <w:r>
        <w:rPr>
          <w:rStyle w:val="None"/>
          <w:rFonts w:ascii="Times New Roman" w:hAnsi="Times New Roman"/>
        </w:rPr>
        <w:t xml:space="preserve"> shows that people with migration background, aim to make a change, to raise their voices, and to show they belong here. Sharing personal stories and shouting they are “from here” Twitter users want to prove that they are as German as others are, beyond ethnic lines of exclusion. </w:t>
      </w:r>
    </w:p>
    <w:p w14:paraId="1A270BC2"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firstLine="567"/>
        <w:jc w:val="both"/>
        <w:rPr>
          <w:rStyle w:val="None"/>
          <w:rFonts w:ascii="Times New Roman" w:eastAsia="Times New Roman" w:hAnsi="Times New Roman" w:cs="Times New Roman"/>
        </w:rPr>
      </w:pPr>
      <w:r>
        <w:rPr>
          <w:rStyle w:val="None"/>
          <w:rFonts w:ascii="Times New Roman" w:hAnsi="Times New Roman"/>
        </w:rPr>
        <w:t>The qualitative case study is an excellent example that shows how the evolving migration issue drives a transformation in the society. and the actual everyday relationships between the citizens, so that there are not anymore migrants, refugees, people with migration background and native, but just people. It calls into question past national policies, everyday behaviors and it sets foundations for a future approach (</w:t>
      </w:r>
      <w:proofErr w:type="spellStart"/>
      <w:r>
        <w:rPr>
          <w:rStyle w:val="None"/>
          <w:rFonts w:ascii="Times New Roman" w:hAnsi="Times New Roman"/>
          <w:lang w:val="de-DE"/>
        </w:rPr>
        <w:t>Foroutan</w:t>
      </w:r>
      <w:proofErr w:type="spellEnd"/>
      <w:r>
        <w:rPr>
          <w:rStyle w:val="None"/>
          <w:rFonts w:ascii="Times New Roman" w:hAnsi="Times New Roman"/>
          <w:lang w:val="de-DE"/>
        </w:rPr>
        <w:t xml:space="preserve">, 2016; </w:t>
      </w:r>
      <w:r>
        <w:rPr>
          <w:rStyle w:val="None"/>
          <w:rFonts w:ascii="Times New Roman" w:hAnsi="Times New Roman"/>
        </w:rPr>
        <w:t xml:space="preserve">Hill </w:t>
      </w:r>
      <w:r>
        <w:rPr>
          <w:rStyle w:val="None"/>
          <w:rFonts w:ascii="Times New Roman" w:hAnsi="Times New Roman"/>
          <w:lang w:val="de-DE"/>
        </w:rPr>
        <w:t xml:space="preserve">&amp; </w:t>
      </w:r>
      <w:proofErr w:type="spellStart"/>
      <w:r>
        <w:rPr>
          <w:rStyle w:val="None"/>
          <w:rFonts w:ascii="Times New Roman" w:hAnsi="Times New Roman"/>
        </w:rPr>
        <w:t>Yildiz</w:t>
      </w:r>
      <w:proofErr w:type="spellEnd"/>
      <w:r>
        <w:rPr>
          <w:rStyle w:val="None"/>
          <w:rFonts w:ascii="Times New Roman" w:hAnsi="Times New Roman"/>
        </w:rPr>
        <w:t>, 2018).</w:t>
      </w:r>
    </w:p>
    <w:p w14:paraId="66FAE339"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one"/>
          <w:rFonts w:ascii="Times New Roman" w:eastAsia="Times New Roman" w:hAnsi="Times New Roman" w:cs="Times New Roman"/>
          <w:b/>
          <w:bCs/>
        </w:rPr>
      </w:pPr>
    </w:p>
    <w:p w14:paraId="41EBE211"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one"/>
          <w:rFonts w:ascii="Times New Roman" w:eastAsia="Times New Roman" w:hAnsi="Times New Roman" w:cs="Times New Roman"/>
          <w:b/>
          <w:bCs/>
        </w:rPr>
      </w:pPr>
      <w:r>
        <w:rPr>
          <w:rStyle w:val="None"/>
          <w:rFonts w:ascii="Times New Roman" w:hAnsi="Times New Roman"/>
          <w:b/>
          <w:bCs/>
        </w:rPr>
        <w:t>Literature</w:t>
      </w:r>
    </w:p>
    <w:p w14:paraId="114C7048"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left="709" w:hanging="709"/>
        <w:rPr>
          <w:rStyle w:val="None"/>
          <w:rFonts w:ascii="Times New Roman" w:eastAsia="Times New Roman" w:hAnsi="Times New Roman" w:cs="Times New Roman"/>
        </w:rPr>
      </w:pPr>
      <w:r>
        <w:rPr>
          <w:rStyle w:val="None"/>
          <w:rFonts w:ascii="Times New Roman" w:hAnsi="Times New Roman"/>
        </w:rPr>
        <w:t xml:space="preserve">An, J., Cha, M., </w:t>
      </w:r>
      <w:proofErr w:type="spellStart"/>
      <w:r>
        <w:rPr>
          <w:rStyle w:val="None"/>
          <w:rFonts w:ascii="Times New Roman" w:hAnsi="Times New Roman"/>
        </w:rPr>
        <w:t>Gummadi</w:t>
      </w:r>
      <w:proofErr w:type="spellEnd"/>
      <w:r>
        <w:rPr>
          <w:rStyle w:val="None"/>
          <w:rFonts w:ascii="Times New Roman" w:hAnsi="Times New Roman"/>
        </w:rPr>
        <w:t xml:space="preserve">, K. P., &amp; Crowcroft, J. (2011). Media Landscape in Twitter: A World of New Conventions and Political Diversity. In </w:t>
      </w:r>
      <w:r>
        <w:rPr>
          <w:rStyle w:val="None"/>
          <w:rFonts w:ascii="Times New Roman" w:hAnsi="Times New Roman"/>
          <w:i/>
          <w:iCs/>
        </w:rPr>
        <w:t>Proceedings of the Fifth International Conference on Weblogs and Social Media</w:t>
      </w:r>
      <w:r>
        <w:rPr>
          <w:rStyle w:val="None"/>
          <w:rFonts w:ascii="Times New Roman" w:hAnsi="Times New Roman"/>
        </w:rPr>
        <w:t xml:space="preserve"> (pp. 18-25). Menlo Park, CA: AAAI.</w:t>
      </w:r>
    </w:p>
    <w:p w14:paraId="3C7C4649"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left="709" w:hanging="709"/>
        <w:rPr>
          <w:rStyle w:val="None"/>
          <w:rFonts w:ascii="Times New Roman" w:eastAsia="Times New Roman" w:hAnsi="Times New Roman" w:cs="Times New Roman"/>
          <w:shd w:val="clear" w:color="auto" w:fill="FFFFFF"/>
        </w:rPr>
      </w:pPr>
      <w:r>
        <w:rPr>
          <w:rStyle w:val="None"/>
          <w:rFonts w:ascii="Times New Roman" w:hAnsi="Times New Roman"/>
          <w:shd w:val="clear" w:color="auto" w:fill="FFFFFF"/>
        </w:rPr>
        <w:t xml:space="preserve">Blevins, J., Lee, J., </w:t>
      </w:r>
      <w:proofErr w:type="spellStart"/>
      <w:r>
        <w:rPr>
          <w:rStyle w:val="None"/>
          <w:rFonts w:ascii="Times New Roman" w:hAnsi="Times New Roman"/>
          <w:shd w:val="clear" w:color="auto" w:fill="FFFFFF"/>
        </w:rPr>
        <w:t>Mccabe</w:t>
      </w:r>
      <w:proofErr w:type="spellEnd"/>
      <w:r>
        <w:rPr>
          <w:rStyle w:val="None"/>
          <w:rFonts w:ascii="Times New Roman" w:hAnsi="Times New Roman"/>
          <w:shd w:val="clear" w:color="auto" w:fill="FFFFFF"/>
        </w:rPr>
        <w:t>, E., &amp; Edgerton, E. (2019). Tweeting for social justice in #Ferguson: Affective discourse in Twitter hashtags. </w:t>
      </w:r>
      <w:r>
        <w:rPr>
          <w:rStyle w:val="None"/>
          <w:rFonts w:ascii="Times New Roman" w:hAnsi="Times New Roman"/>
          <w:i/>
          <w:iCs/>
          <w:shd w:val="clear" w:color="auto" w:fill="FFFFFF"/>
        </w:rPr>
        <w:t>New Media &amp; Society,21</w:t>
      </w:r>
      <w:r>
        <w:rPr>
          <w:rStyle w:val="None"/>
          <w:rFonts w:ascii="Times New Roman" w:hAnsi="Times New Roman"/>
          <w:shd w:val="clear" w:color="auto" w:fill="FFFFFF"/>
        </w:rPr>
        <w:t>(7), 1636-1653.</w:t>
      </w:r>
    </w:p>
    <w:p w14:paraId="06A126FB"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left="709" w:hanging="709"/>
        <w:rPr>
          <w:rStyle w:val="Hyperlink1"/>
          <w:rFonts w:eastAsia="Arial Unicode MS"/>
        </w:rPr>
      </w:pPr>
      <w:proofErr w:type="spellStart"/>
      <w:r>
        <w:rPr>
          <w:rStyle w:val="None"/>
          <w:rFonts w:ascii="Times New Roman" w:hAnsi="Times New Roman"/>
        </w:rPr>
        <w:t>Bozdağ</w:t>
      </w:r>
      <w:proofErr w:type="spellEnd"/>
      <w:r>
        <w:rPr>
          <w:rStyle w:val="None"/>
          <w:rFonts w:ascii="Times New Roman" w:hAnsi="Times New Roman"/>
        </w:rPr>
        <w:t xml:space="preserve">, </w:t>
      </w:r>
      <w:proofErr w:type="spellStart"/>
      <w:r>
        <w:rPr>
          <w:rStyle w:val="None"/>
          <w:rFonts w:ascii="Times New Roman" w:hAnsi="Times New Roman"/>
        </w:rPr>
        <w:t>Çi</w:t>
      </w:r>
      <w:proofErr w:type="spellEnd"/>
      <w:r>
        <w:rPr>
          <w:rStyle w:val="None"/>
          <w:rFonts w:ascii="Times New Roman" w:hAnsi="Times New Roman"/>
        </w:rPr>
        <w:t xml:space="preserve">. (2014). Policies of media and cultural integration in Germany: From </w:t>
      </w:r>
      <w:proofErr w:type="spellStart"/>
      <w:r>
        <w:rPr>
          <w:rStyle w:val="None"/>
          <w:rFonts w:ascii="Times New Roman" w:hAnsi="Times New Roman"/>
        </w:rPr>
        <w:t>guestworker</w:t>
      </w:r>
      <w:proofErr w:type="spellEnd"/>
      <w:r>
        <w:rPr>
          <w:rStyle w:val="None"/>
          <w:rFonts w:ascii="Times New Roman" w:hAnsi="Times New Roman"/>
        </w:rPr>
        <w:t xml:space="preserve"> </w:t>
      </w:r>
      <w:proofErr w:type="spellStart"/>
      <w:r>
        <w:rPr>
          <w:rStyle w:val="None"/>
          <w:rFonts w:ascii="Times New Roman" w:hAnsi="Times New Roman"/>
        </w:rPr>
        <w:t>programmes</w:t>
      </w:r>
      <w:proofErr w:type="spellEnd"/>
      <w:r>
        <w:rPr>
          <w:rStyle w:val="None"/>
          <w:rFonts w:ascii="Times New Roman" w:hAnsi="Times New Roman"/>
        </w:rPr>
        <w:t xml:space="preserve"> to a more integrative framework. </w:t>
      </w:r>
      <w:r>
        <w:rPr>
          <w:rStyle w:val="None"/>
          <w:rFonts w:ascii="Times New Roman" w:hAnsi="Times New Roman"/>
          <w:i/>
          <w:iCs/>
        </w:rPr>
        <w:t>Global Media &amp; Communication, 10</w:t>
      </w:r>
      <w:r>
        <w:rPr>
          <w:rStyle w:val="None"/>
          <w:rFonts w:ascii="Times New Roman" w:hAnsi="Times New Roman"/>
        </w:rPr>
        <w:t xml:space="preserve">(3), 289–301. </w:t>
      </w:r>
      <w:hyperlink r:id="rId9" w:history="1">
        <w:r>
          <w:rPr>
            <w:rStyle w:val="Hyperlink1"/>
            <w:rFonts w:eastAsia="Arial Unicode MS"/>
          </w:rPr>
          <w:t>https://doi.org/10.1177/1742766514552354</w:t>
        </w:r>
      </w:hyperlink>
      <w:r>
        <w:rPr>
          <w:rStyle w:val="Hyperlink1"/>
          <w:rFonts w:eastAsia="Arial Unicode MS"/>
        </w:rPr>
        <w:t>. (29.07.2019).</w:t>
      </w:r>
    </w:p>
    <w:p w14:paraId="6F611118" w14:textId="77777777" w:rsidR="001208AF" w:rsidRDefault="001208AF" w:rsidP="001208AF">
      <w:pPr>
        <w:pStyle w:val="Body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left="709" w:hanging="709"/>
        <w:rPr>
          <w:rStyle w:val="Hyperlink1"/>
          <w:rFonts w:eastAsia="Arial Unicode MS"/>
        </w:rPr>
      </w:pPr>
      <w:proofErr w:type="spellStart"/>
      <w:r>
        <w:rPr>
          <w:rStyle w:val="None"/>
          <w:rFonts w:ascii="Times New Roman" w:hAnsi="Times New Roman"/>
          <w:lang w:val="de-DE"/>
        </w:rPr>
        <w:t>Foroutan</w:t>
      </w:r>
      <w:proofErr w:type="spellEnd"/>
      <w:r>
        <w:rPr>
          <w:rStyle w:val="None"/>
          <w:rFonts w:ascii="Times New Roman" w:hAnsi="Times New Roman"/>
          <w:lang w:val="de-DE"/>
        </w:rPr>
        <w:t xml:space="preserve">, N. (2016). Postmigrantische Gesellschaften. In H. U. Brinkmann &amp; M. Sauer (Ed.), </w:t>
      </w:r>
      <w:r>
        <w:rPr>
          <w:rStyle w:val="None"/>
          <w:rFonts w:ascii="Times New Roman" w:hAnsi="Times New Roman"/>
          <w:i/>
          <w:iCs/>
          <w:lang w:val="de-DE"/>
        </w:rPr>
        <w:t>Einwanderungsgesellschaft Deutschland: Entwicklung und Stand der Integration</w:t>
      </w:r>
      <w:r>
        <w:rPr>
          <w:rStyle w:val="None"/>
          <w:rFonts w:ascii="Times New Roman" w:hAnsi="Times New Roman"/>
          <w:lang w:val="de-DE"/>
        </w:rPr>
        <w:t xml:space="preserve"> (pp. 227-254). Essen: Springer VS. </w:t>
      </w:r>
      <w:proofErr w:type="spellStart"/>
      <w:r>
        <w:rPr>
          <w:rStyle w:val="None"/>
          <w:rFonts w:ascii="Times New Roman" w:hAnsi="Times New Roman"/>
          <w:lang w:val="de-DE"/>
        </w:rPr>
        <w:t>Doi</w:t>
      </w:r>
      <w:proofErr w:type="spellEnd"/>
      <w:r>
        <w:rPr>
          <w:rStyle w:val="None"/>
          <w:rFonts w:ascii="Times New Roman" w:hAnsi="Times New Roman"/>
        </w:rPr>
        <w:t>: 10.1007/978-3-658-05746-6.</w:t>
      </w:r>
    </w:p>
    <w:p w14:paraId="79D9C279" w14:textId="77777777" w:rsidR="001208AF" w:rsidRDefault="001208AF" w:rsidP="001208AF">
      <w:pPr>
        <w:pStyle w:val="Body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left="709" w:hanging="709"/>
        <w:rPr>
          <w:rStyle w:val="Hyperlink1"/>
          <w:rFonts w:eastAsia="Arial Unicode MS"/>
        </w:rPr>
      </w:pPr>
      <w:proofErr w:type="spellStart"/>
      <w:r>
        <w:rPr>
          <w:rStyle w:val="Hyperlink1"/>
          <w:rFonts w:eastAsia="Arial Unicode MS"/>
        </w:rPr>
        <w:lastRenderedPageBreak/>
        <w:t>Hagendoorn</w:t>
      </w:r>
      <w:proofErr w:type="spellEnd"/>
      <w:r>
        <w:rPr>
          <w:rStyle w:val="Hyperlink1"/>
          <w:rFonts w:eastAsia="Arial Unicode MS"/>
        </w:rPr>
        <w:t xml:space="preserve">, L. (1995). Intergroup Biases in Multiple Group Systems: The Perception of Ethnic Hierarchies. </w:t>
      </w:r>
      <w:r>
        <w:rPr>
          <w:rStyle w:val="None"/>
          <w:rFonts w:ascii="Times New Roman" w:hAnsi="Times New Roman"/>
          <w:i/>
          <w:iCs/>
        </w:rPr>
        <w:t>European Review of Social Psychology</w:t>
      </w:r>
      <w:r>
        <w:rPr>
          <w:rStyle w:val="Hyperlink1"/>
          <w:rFonts w:eastAsia="Arial Unicode MS"/>
        </w:rPr>
        <w:t xml:space="preserve">, </w:t>
      </w:r>
      <w:r>
        <w:rPr>
          <w:rStyle w:val="None"/>
          <w:rFonts w:ascii="Times New Roman" w:hAnsi="Times New Roman"/>
          <w:i/>
          <w:iCs/>
        </w:rPr>
        <w:t>6</w:t>
      </w:r>
      <w:r>
        <w:rPr>
          <w:rStyle w:val="Hyperlink1"/>
          <w:rFonts w:eastAsia="Arial Unicode MS"/>
        </w:rPr>
        <w:t>(1), 199-228, Doi:10.1080/14792779443000058.</w:t>
      </w:r>
    </w:p>
    <w:p w14:paraId="3206866E"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left="709" w:hanging="709"/>
        <w:rPr>
          <w:rStyle w:val="Hyperlink1"/>
          <w:rFonts w:eastAsia="Arial Unicode MS"/>
        </w:rPr>
      </w:pPr>
      <w:r>
        <w:rPr>
          <w:rStyle w:val="None"/>
          <w:rFonts w:ascii="Times New Roman" w:hAnsi="Times New Roman"/>
        </w:rPr>
        <w:t xml:space="preserve">Hill, M., &amp; </w:t>
      </w:r>
      <w:proofErr w:type="spellStart"/>
      <w:r>
        <w:rPr>
          <w:rStyle w:val="None"/>
          <w:rFonts w:ascii="Times New Roman" w:hAnsi="Times New Roman"/>
        </w:rPr>
        <w:t>Yildiz</w:t>
      </w:r>
      <w:proofErr w:type="spellEnd"/>
      <w:r>
        <w:rPr>
          <w:rStyle w:val="None"/>
          <w:rFonts w:ascii="Times New Roman" w:hAnsi="Times New Roman"/>
        </w:rPr>
        <w:t xml:space="preserve">, E. (2018). </w:t>
      </w:r>
      <w:r>
        <w:rPr>
          <w:rStyle w:val="None"/>
          <w:rFonts w:ascii="Times New Roman" w:hAnsi="Times New Roman"/>
          <w:i/>
          <w:iCs/>
          <w:lang w:val="de-DE"/>
        </w:rPr>
        <w:t>Postmigrantische Visionen</w:t>
      </w:r>
      <w:r>
        <w:rPr>
          <w:rStyle w:val="None"/>
          <w:rFonts w:ascii="Times New Roman" w:hAnsi="Times New Roman"/>
          <w:lang w:val="de-DE"/>
        </w:rPr>
        <w:t xml:space="preserve">. Wetzlar: </w:t>
      </w:r>
      <w:proofErr w:type="spellStart"/>
      <w:r>
        <w:rPr>
          <w:rStyle w:val="None"/>
          <w:rFonts w:ascii="Times New Roman" w:hAnsi="Times New Roman"/>
          <w:lang w:val="de-DE"/>
        </w:rPr>
        <w:t>Transcript</w:t>
      </w:r>
      <w:proofErr w:type="spellEnd"/>
      <w:r>
        <w:rPr>
          <w:rStyle w:val="None"/>
          <w:rFonts w:ascii="Times New Roman" w:hAnsi="Times New Roman"/>
          <w:lang w:val="de-DE"/>
        </w:rPr>
        <w:t xml:space="preserve"> Verlag.</w:t>
      </w:r>
    </w:p>
    <w:p w14:paraId="3F600825" w14:textId="77777777" w:rsidR="001208AF" w:rsidRDefault="001208AF" w:rsidP="001208AF">
      <w:pPr>
        <w:pStyle w:val="BodyA"/>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left="709" w:hanging="709"/>
        <w:rPr>
          <w:rStyle w:val="Hyperlink1"/>
          <w:rFonts w:eastAsia="Arial Unicode MS"/>
        </w:rPr>
      </w:pPr>
      <w:r>
        <w:rPr>
          <w:rStyle w:val="None"/>
          <w:rFonts w:ascii="Times New Roman" w:hAnsi="Times New Roman"/>
        </w:rPr>
        <w:t>R</w:t>
      </w:r>
      <w:r>
        <w:rPr>
          <w:rStyle w:val="None"/>
          <w:rFonts w:ascii="Times New Roman" w:hAnsi="Times New Roman"/>
          <w:lang w:val="sv-SE"/>
        </w:rPr>
        <w:t>ö</w:t>
      </w:r>
      <w:proofErr w:type="spellStart"/>
      <w:r>
        <w:rPr>
          <w:rStyle w:val="None"/>
          <w:rFonts w:ascii="Times New Roman" w:hAnsi="Times New Roman"/>
        </w:rPr>
        <w:t>mhild</w:t>
      </w:r>
      <w:proofErr w:type="spellEnd"/>
      <w:r>
        <w:rPr>
          <w:rStyle w:val="None"/>
          <w:rFonts w:ascii="Times New Roman" w:hAnsi="Times New Roman"/>
        </w:rPr>
        <w:t xml:space="preserve">, R. (2015). </w:t>
      </w:r>
      <w:r>
        <w:rPr>
          <w:rStyle w:val="None"/>
          <w:rFonts w:ascii="Times New Roman" w:hAnsi="Times New Roman"/>
          <w:i/>
          <w:iCs/>
          <w:lang w:val="de-DE"/>
        </w:rPr>
        <w:t>Jenseits ethnischer Grenzen. F</w:t>
      </w:r>
      <w:r>
        <w:rPr>
          <w:rStyle w:val="None"/>
          <w:rFonts w:ascii="Times New Roman" w:hAnsi="Times New Roman"/>
          <w:i/>
          <w:iCs/>
        </w:rPr>
        <w:t>ü</w:t>
      </w:r>
      <w:r>
        <w:rPr>
          <w:rStyle w:val="None"/>
          <w:rFonts w:ascii="Times New Roman" w:hAnsi="Times New Roman"/>
          <w:i/>
          <w:iCs/>
          <w:lang w:val="de-DE"/>
        </w:rPr>
        <w:t>r eine postmigrantische Kultur- und Gesellschaftsforschung.</w:t>
      </w:r>
      <w:r>
        <w:rPr>
          <w:rStyle w:val="None"/>
          <w:rFonts w:ascii="Times New Roman" w:hAnsi="Times New Roman"/>
          <w:lang w:val="de-DE"/>
        </w:rPr>
        <w:t xml:space="preserve"> In Yildiz und Hill 2015, 37-48.</w:t>
      </w:r>
    </w:p>
    <w:p w14:paraId="622559A4" w14:textId="77777777" w:rsidR="001208AF" w:rsidRDefault="001208AF" w:rsidP="001208AF">
      <w:pPr>
        <w:pStyle w:val="Body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left="709" w:hanging="709"/>
        <w:rPr>
          <w:rStyle w:val="Hyperlink1"/>
          <w:rFonts w:eastAsia="Arial Unicode MS"/>
        </w:rPr>
      </w:pPr>
      <w:proofErr w:type="spellStart"/>
      <w:r>
        <w:rPr>
          <w:rStyle w:val="None"/>
          <w:rFonts w:ascii="Times New Roman" w:hAnsi="Times New Roman"/>
        </w:rPr>
        <w:t>Rupnow</w:t>
      </w:r>
      <w:proofErr w:type="spellEnd"/>
      <w:r>
        <w:rPr>
          <w:rStyle w:val="None"/>
          <w:rFonts w:ascii="Times New Roman" w:hAnsi="Times New Roman"/>
        </w:rPr>
        <w:t xml:space="preserve">, D. (2018). </w:t>
      </w:r>
      <w:r>
        <w:rPr>
          <w:rStyle w:val="None"/>
          <w:rFonts w:ascii="Times New Roman" w:hAnsi="Times New Roman"/>
          <w:i/>
          <w:iCs/>
          <w:lang w:val="de-DE"/>
        </w:rPr>
        <w:t xml:space="preserve">Wann war die </w:t>
      </w:r>
      <w:r>
        <w:rPr>
          <w:rStyle w:val="None"/>
          <w:rFonts w:ascii="Arial Unicode MS" w:hAnsi="Arial Unicode MS"/>
          <w:rtl/>
          <w:lang w:val="ar-SA"/>
        </w:rPr>
        <w:t>“</w:t>
      </w:r>
      <w:r>
        <w:rPr>
          <w:rStyle w:val="None"/>
          <w:rFonts w:ascii="Times New Roman" w:hAnsi="Times New Roman"/>
          <w:i/>
          <w:iCs/>
          <w:lang w:val="fr-FR"/>
        </w:rPr>
        <w:t>Post-Migration</w:t>
      </w:r>
      <w:r>
        <w:rPr>
          <w:rStyle w:val="None"/>
          <w:rFonts w:ascii="Times New Roman" w:hAnsi="Times New Roman"/>
          <w:i/>
          <w:iCs/>
        </w:rPr>
        <w:t>”</w:t>
      </w:r>
      <w:r>
        <w:rPr>
          <w:rStyle w:val="None"/>
          <w:rFonts w:ascii="Times New Roman" w:hAnsi="Times New Roman"/>
          <w:i/>
          <w:iCs/>
          <w:lang w:val="de-DE"/>
        </w:rPr>
        <w:t xml:space="preserve">? Denken </w:t>
      </w:r>
      <w:r>
        <w:rPr>
          <w:rStyle w:val="None"/>
          <w:rFonts w:ascii="Times New Roman" w:hAnsi="Times New Roman"/>
          <w:i/>
          <w:iCs/>
        </w:rPr>
        <w:t>ü</w:t>
      </w:r>
      <w:proofErr w:type="spellStart"/>
      <w:r>
        <w:rPr>
          <w:rStyle w:val="None"/>
          <w:rFonts w:ascii="Times New Roman" w:hAnsi="Times New Roman"/>
          <w:i/>
          <w:iCs/>
          <w:lang w:val="de-DE"/>
        </w:rPr>
        <w:t>ber</w:t>
      </w:r>
      <w:proofErr w:type="spellEnd"/>
      <w:r>
        <w:rPr>
          <w:rStyle w:val="None"/>
          <w:rFonts w:ascii="Times New Roman" w:hAnsi="Times New Roman"/>
          <w:i/>
          <w:iCs/>
          <w:lang w:val="de-DE"/>
        </w:rPr>
        <w:t xml:space="preserve"> Zeiten und Grenzen.</w:t>
      </w:r>
      <w:r>
        <w:rPr>
          <w:rStyle w:val="None"/>
          <w:rFonts w:ascii="Times New Roman" w:hAnsi="Times New Roman"/>
        </w:rPr>
        <w:t xml:space="preserve"> In Hill and </w:t>
      </w:r>
      <w:proofErr w:type="spellStart"/>
      <w:r>
        <w:rPr>
          <w:rStyle w:val="None"/>
          <w:rFonts w:ascii="Times New Roman" w:hAnsi="Times New Roman"/>
        </w:rPr>
        <w:t>Yildiz</w:t>
      </w:r>
      <w:proofErr w:type="spellEnd"/>
      <w:r>
        <w:rPr>
          <w:rStyle w:val="None"/>
          <w:rFonts w:ascii="Times New Roman" w:hAnsi="Times New Roman"/>
        </w:rPr>
        <w:t xml:space="preserve"> 2018, 29-42.</w:t>
      </w:r>
    </w:p>
    <w:p w14:paraId="4DECDF7D"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left="709" w:hanging="709"/>
        <w:rPr>
          <w:rStyle w:val="Hyperlink1"/>
          <w:rFonts w:eastAsia="Arial Unicode MS"/>
        </w:rPr>
      </w:pPr>
      <w:proofErr w:type="spellStart"/>
      <w:r>
        <w:rPr>
          <w:rStyle w:val="None"/>
          <w:rFonts w:ascii="Times New Roman" w:hAnsi="Times New Roman"/>
        </w:rPr>
        <w:t>Snellman</w:t>
      </w:r>
      <w:proofErr w:type="spellEnd"/>
      <w:r>
        <w:rPr>
          <w:rStyle w:val="None"/>
          <w:rFonts w:ascii="Times New Roman" w:hAnsi="Times New Roman"/>
        </w:rPr>
        <w:t xml:space="preserve">, A. &amp; </w:t>
      </w:r>
      <w:proofErr w:type="spellStart"/>
      <w:r>
        <w:rPr>
          <w:rStyle w:val="None"/>
          <w:rFonts w:ascii="Times New Roman" w:hAnsi="Times New Roman"/>
        </w:rPr>
        <w:t>Ekehammar</w:t>
      </w:r>
      <w:proofErr w:type="spellEnd"/>
      <w:r>
        <w:rPr>
          <w:rStyle w:val="None"/>
          <w:rFonts w:ascii="Times New Roman" w:hAnsi="Times New Roman"/>
        </w:rPr>
        <w:t xml:space="preserve">, B. (2005), </w:t>
      </w:r>
      <w:r>
        <w:rPr>
          <w:rStyle w:val="None"/>
          <w:rFonts w:ascii="Times New Roman" w:hAnsi="Times New Roman"/>
          <w:i/>
          <w:iCs/>
        </w:rPr>
        <w:t>Ethnic hierarchies, ethnic prejudice, and social dominance orientation</w:t>
      </w:r>
      <w:r>
        <w:rPr>
          <w:rStyle w:val="None"/>
          <w:rFonts w:ascii="Times New Roman" w:hAnsi="Times New Roman"/>
        </w:rPr>
        <w:t>. J. Community. Appl. Soc. Psychol., 15: 83-94. Doi:</w:t>
      </w:r>
      <w:hyperlink r:id="rId10" w:history="1">
        <w:r>
          <w:rPr>
            <w:rStyle w:val="Hyperlink2"/>
            <w:rFonts w:eastAsia="Arial Unicode MS"/>
          </w:rPr>
          <w:t>10.1002/casp.812</w:t>
        </w:r>
      </w:hyperlink>
      <w:r>
        <w:rPr>
          <w:rStyle w:val="None"/>
          <w:rFonts w:ascii="Times New Roman" w:hAnsi="Times New Roman"/>
        </w:rPr>
        <w:t>.</w:t>
      </w:r>
    </w:p>
    <w:p w14:paraId="1346A25E" w14:textId="77777777" w:rsidR="001208AF" w:rsidRDefault="001208AF" w:rsidP="001208AF">
      <w:pPr>
        <w:pStyle w:val="BodyA"/>
        <w:shd w:val="clear" w:color="auto" w:fill="FFFFFF"/>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left="709" w:hanging="709"/>
        <w:rPr>
          <w:rStyle w:val="Hyperlink1"/>
          <w:rFonts w:eastAsia="Arial Unicode MS"/>
        </w:rPr>
      </w:pPr>
      <w:r>
        <w:rPr>
          <w:rStyle w:val="None"/>
          <w:rFonts w:ascii="Times New Roman" w:hAnsi="Times New Roman"/>
          <w:lang w:val="de-DE"/>
        </w:rPr>
        <w:t xml:space="preserve">Treibel, A. (2017). Das Integrationsparadox. In K.-H. Meier-Braun &amp; R. Weber (Eds.), </w:t>
      </w:r>
      <w:r>
        <w:rPr>
          <w:rStyle w:val="None"/>
          <w:rFonts w:ascii="Times New Roman" w:hAnsi="Times New Roman"/>
          <w:i/>
          <w:iCs/>
          <w:lang w:val="de-DE"/>
        </w:rPr>
        <w:t xml:space="preserve">Deutschland Einwanderungsland: Begriffe - Fakten - Kontroversen (3rd </w:t>
      </w:r>
      <w:proofErr w:type="spellStart"/>
      <w:r>
        <w:rPr>
          <w:rStyle w:val="None"/>
          <w:rFonts w:ascii="Times New Roman" w:hAnsi="Times New Roman"/>
          <w:i/>
          <w:iCs/>
          <w:lang w:val="de-DE"/>
        </w:rPr>
        <w:t>ed</w:t>
      </w:r>
      <w:proofErr w:type="spellEnd"/>
      <w:proofErr w:type="gramStart"/>
      <w:r>
        <w:rPr>
          <w:rStyle w:val="None"/>
          <w:rFonts w:ascii="Times New Roman" w:hAnsi="Times New Roman"/>
          <w:i/>
          <w:iCs/>
          <w:lang w:val="de-DE"/>
        </w:rPr>
        <w:t>.)</w:t>
      </w:r>
      <w:r>
        <w:rPr>
          <w:rStyle w:val="None"/>
          <w:rFonts w:ascii="Times New Roman" w:hAnsi="Times New Roman"/>
        </w:rPr>
        <w:t>(</w:t>
      </w:r>
      <w:proofErr w:type="gramEnd"/>
      <w:r>
        <w:rPr>
          <w:rStyle w:val="None"/>
          <w:rFonts w:ascii="Times New Roman" w:hAnsi="Times New Roman"/>
        </w:rPr>
        <w:t>pp. 82-83)</w:t>
      </w:r>
      <w:r>
        <w:rPr>
          <w:rStyle w:val="None"/>
          <w:rFonts w:ascii="Times New Roman" w:hAnsi="Times New Roman"/>
          <w:i/>
          <w:iCs/>
        </w:rPr>
        <w:t>.</w:t>
      </w:r>
      <w:r>
        <w:rPr>
          <w:rStyle w:val="None"/>
          <w:rFonts w:ascii="Times New Roman" w:hAnsi="Times New Roman"/>
          <w:lang w:val="de-DE"/>
        </w:rPr>
        <w:t xml:space="preserve"> Stuttgart: Verlag W. Kohlhammer.</w:t>
      </w:r>
    </w:p>
    <w:p w14:paraId="17CFAF77" w14:textId="77777777" w:rsidR="001208AF" w:rsidRDefault="001208AF" w:rsidP="001208AF">
      <w:pPr>
        <w:pStyle w:val="BodyA"/>
        <w:spacing w:line="360" w:lineRule="auto"/>
        <w:ind w:left="567" w:hanging="567"/>
        <w:rPr>
          <w:rStyle w:val="None"/>
          <w:rFonts w:ascii="Times New Roman" w:eastAsia="Times New Roman" w:hAnsi="Times New Roman" w:cs="Times New Roman"/>
        </w:rPr>
      </w:pPr>
      <w:proofErr w:type="spellStart"/>
      <w:r>
        <w:rPr>
          <w:rStyle w:val="None"/>
          <w:rFonts w:ascii="Times New Roman" w:hAnsi="Times New Roman"/>
        </w:rPr>
        <w:t>Yildiz</w:t>
      </w:r>
      <w:proofErr w:type="spellEnd"/>
      <w:r>
        <w:rPr>
          <w:rStyle w:val="None"/>
          <w:rFonts w:ascii="Times New Roman" w:hAnsi="Times New Roman"/>
        </w:rPr>
        <w:t xml:space="preserve">, E. (2015). </w:t>
      </w:r>
      <w:r>
        <w:rPr>
          <w:rStyle w:val="None"/>
          <w:rFonts w:ascii="Times New Roman" w:hAnsi="Times New Roman"/>
          <w:i/>
          <w:iCs/>
          <w:lang w:val="de-DE"/>
        </w:rPr>
        <w:t>Postmigrantische Perspektiven. Aufbruch in eine neue Geschichtlichkeit.</w:t>
      </w:r>
      <w:r>
        <w:rPr>
          <w:rStyle w:val="None"/>
          <w:rFonts w:ascii="Times New Roman" w:hAnsi="Times New Roman"/>
          <w:lang w:val="de-DE"/>
        </w:rPr>
        <w:t xml:space="preserve"> In Yildiz und Hill 2015, 19-36. </w:t>
      </w:r>
    </w:p>
    <w:p w14:paraId="158B2E5E"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left="709" w:hanging="709"/>
        <w:rPr>
          <w:rStyle w:val="Hyperlink1"/>
          <w:rFonts w:eastAsia="Arial Unicode MS"/>
        </w:rPr>
      </w:pPr>
      <w:proofErr w:type="spellStart"/>
      <w:r>
        <w:rPr>
          <w:rStyle w:val="None"/>
          <w:rFonts w:ascii="Times New Roman" w:hAnsi="Times New Roman"/>
        </w:rPr>
        <w:t>Yildiz</w:t>
      </w:r>
      <w:proofErr w:type="spellEnd"/>
      <w:r>
        <w:rPr>
          <w:rStyle w:val="None"/>
          <w:rFonts w:ascii="Times New Roman" w:hAnsi="Times New Roman"/>
        </w:rPr>
        <w:t xml:space="preserve">, E., &amp; Hill, M. (2015). </w:t>
      </w:r>
      <w:r>
        <w:rPr>
          <w:rStyle w:val="None"/>
          <w:rFonts w:ascii="Times New Roman" w:hAnsi="Times New Roman"/>
          <w:i/>
          <w:iCs/>
          <w:lang w:val="de-DE"/>
        </w:rPr>
        <w:t>Nach der Migration. Postmigrantische Perspektiven jenseits der Parallelgesellschaft</w:t>
      </w:r>
      <w:r>
        <w:rPr>
          <w:rStyle w:val="None"/>
          <w:rFonts w:ascii="Times New Roman" w:hAnsi="Times New Roman"/>
        </w:rPr>
        <w:t>. Bielefeld: transcript Verlag.</w:t>
      </w:r>
    </w:p>
    <w:p w14:paraId="177E803A" w14:textId="77777777" w:rsidR="001208AF" w:rsidRDefault="001208AF" w:rsidP="001208AF">
      <w:pPr>
        <w:pStyle w:val="BodyA"/>
        <w:tabs>
          <w:tab w:val="left" w:pos="910"/>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ind w:left="709" w:hanging="709"/>
      </w:pPr>
      <w:r>
        <w:rPr>
          <w:rStyle w:val="None"/>
          <w:rFonts w:ascii="Times New Roman" w:hAnsi="Times New Roman"/>
          <w:shd w:val="clear" w:color="auto" w:fill="FFFFFF"/>
        </w:rPr>
        <w:t>Will, A.-K. (2019). The German statistical category “migration background”: Historical roots, revisions and shortcomings. </w:t>
      </w:r>
      <w:r>
        <w:rPr>
          <w:rStyle w:val="None"/>
          <w:rFonts w:ascii="Times New Roman" w:hAnsi="Times New Roman"/>
          <w:i/>
          <w:iCs/>
          <w:shd w:val="clear" w:color="auto" w:fill="FFFFFF"/>
        </w:rPr>
        <w:t>Ethnicities</w:t>
      </w:r>
      <w:r>
        <w:rPr>
          <w:rStyle w:val="None"/>
          <w:rFonts w:ascii="Times New Roman" w:hAnsi="Times New Roman"/>
          <w:shd w:val="clear" w:color="auto" w:fill="FFFFFF"/>
        </w:rPr>
        <w:t>, </w:t>
      </w:r>
      <w:r>
        <w:rPr>
          <w:rStyle w:val="None"/>
          <w:rFonts w:ascii="Times New Roman" w:hAnsi="Times New Roman"/>
          <w:i/>
          <w:iCs/>
          <w:shd w:val="clear" w:color="auto" w:fill="FFFFFF"/>
        </w:rPr>
        <w:t>19</w:t>
      </w:r>
      <w:r>
        <w:rPr>
          <w:rStyle w:val="None"/>
          <w:rFonts w:ascii="Times New Roman" w:hAnsi="Times New Roman"/>
          <w:shd w:val="clear" w:color="auto" w:fill="FFFFFF"/>
        </w:rPr>
        <w:t>(3), 535–557. Doi:</w:t>
      </w:r>
      <w:r>
        <w:rPr>
          <w:rStyle w:val="Hyperlink1"/>
          <w:rFonts w:eastAsia="Arial Unicode MS"/>
        </w:rPr>
        <w:t xml:space="preserve"> </w:t>
      </w:r>
      <w:hyperlink r:id="rId11" w:history="1">
        <w:r>
          <w:rPr>
            <w:rStyle w:val="Hyperlink3"/>
            <w:rFonts w:eastAsia="Arial Unicode MS"/>
          </w:rPr>
          <w:t>https://doi.org/10.1177/1468796819833437</w:t>
        </w:r>
      </w:hyperlink>
      <w:r>
        <w:rPr>
          <w:rStyle w:val="Hyperlink1"/>
          <w:rFonts w:eastAsia="Arial Unicode MS"/>
        </w:rPr>
        <w:t>.</w:t>
      </w:r>
    </w:p>
    <w:sectPr w:rsidR="001208AF">
      <w:footerReference w:type="default" r:id="rId12"/>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947E17" w14:textId="77777777" w:rsidR="00D578E2" w:rsidRDefault="00D578E2" w:rsidP="00316456">
      <w:pPr>
        <w:spacing w:after="0" w:line="240" w:lineRule="auto"/>
      </w:pPr>
      <w:r>
        <w:separator/>
      </w:r>
    </w:p>
  </w:endnote>
  <w:endnote w:type="continuationSeparator" w:id="0">
    <w:p w14:paraId="466ED3A1" w14:textId="77777777" w:rsidR="00D578E2" w:rsidRDefault="00D578E2" w:rsidP="003164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Arial"/>
    <w:charset w:val="00"/>
    <w:family w:val="roman"/>
    <w:pitch w:val="default"/>
  </w:font>
  <w:font w:name="Arial Unicode MS">
    <w:altName w:val="Arial"/>
    <w:panose1 w:val="020B0604020202020204"/>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9034514"/>
      <w:docPartObj>
        <w:docPartGallery w:val="Page Numbers (Bottom of Page)"/>
        <w:docPartUnique/>
      </w:docPartObj>
    </w:sdtPr>
    <w:sdtEndPr/>
    <w:sdtContent>
      <w:p w14:paraId="54E340F4" w14:textId="77777777" w:rsidR="008C2A2C" w:rsidRDefault="008C2A2C">
        <w:pPr>
          <w:pStyle w:val="Fuzeile"/>
          <w:jc w:val="right"/>
        </w:pPr>
        <w:r>
          <w:fldChar w:fldCharType="begin"/>
        </w:r>
        <w:r>
          <w:instrText>PAGE   \* MERGEFORMAT</w:instrText>
        </w:r>
        <w:r>
          <w:fldChar w:fldCharType="separate"/>
        </w:r>
        <w:r w:rsidR="003D0838" w:rsidRPr="003D0838">
          <w:rPr>
            <w:noProof/>
            <w:lang w:val="el-GR"/>
          </w:rPr>
          <w:t>4</w:t>
        </w:r>
        <w:r>
          <w:fldChar w:fldCharType="end"/>
        </w:r>
      </w:p>
    </w:sdtContent>
  </w:sdt>
  <w:p w14:paraId="2D3FAE74" w14:textId="77777777" w:rsidR="008C2A2C" w:rsidRDefault="008C2A2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69B897" w14:textId="77777777" w:rsidR="00D578E2" w:rsidRDefault="00D578E2" w:rsidP="00316456">
      <w:pPr>
        <w:spacing w:after="0" w:line="240" w:lineRule="auto"/>
      </w:pPr>
      <w:r>
        <w:separator/>
      </w:r>
    </w:p>
  </w:footnote>
  <w:footnote w:type="continuationSeparator" w:id="0">
    <w:p w14:paraId="219EE3C1" w14:textId="77777777" w:rsidR="00D578E2" w:rsidRDefault="00D578E2" w:rsidP="003164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833"/>
    <w:rsid w:val="00001DFA"/>
    <w:rsid w:val="000120CB"/>
    <w:rsid w:val="000256FF"/>
    <w:rsid w:val="00065CB5"/>
    <w:rsid w:val="00073DA7"/>
    <w:rsid w:val="000B051C"/>
    <w:rsid w:val="000B587C"/>
    <w:rsid w:val="00100385"/>
    <w:rsid w:val="001208AF"/>
    <w:rsid w:val="0012526D"/>
    <w:rsid w:val="001902D9"/>
    <w:rsid w:val="001A6856"/>
    <w:rsid w:val="0021079B"/>
    <w:rsid w:val="00246F9A"/>
    <w:rsid w:val="0029625F"/>
    <w:rsid w:val="002D4334"/>
    <w:rsid w:val="002E7051"/>
    <w:rsid w:val="00316456"/>
    <w:rsid w:val="00335B0F"/>
    <w:rsid w:val="00351DAF"/>
    <w:rsid w:val="003762AC"/>
    <w:rsid w:val="00396272"/>
    <w:rsid w:val="003D0838"/>
    <w:rsid w:val="003F40BF"/>
    <w:rsid w:val="003F70EF"/>
    <w:rsid w:val="004057B9"/>
    <w:rsid w:val="00422612"/>
    <w:rsid w:val="00437AD1"/>
    <w:rsid w:val="00465042"/>
    <w:rsid w:val="004C3A63"/>
    <w:rsid w:val="004F6431"/>
    <w:rsid w:val="00511B32"/>
    <w:rsid w:val="005157B8"/>
    <w:rsid w:val="00515CC5"/>
    <w:rsid w:val="0055100E"/>
    <w:rsid w:val="005526F0"/>
    <w:rsid w:val="00587FCC"/>
    <w:rsid w:val="005A274C"/>
    <w:rsid w:val="005B7850"/>
    <w:rsid w:val="005F50BB"/>
    <w:rsid w:val="00665D48"/>
    <w:rsid w:val="00683266"/>
    <w:rsid w:val="00703711"/>
    <w:rsid w:val="00712833"/>
    <w:rsid w:val="00715E61"/>
    <w:rsid w:val="007303C4"/>
    <w:rsid w:val="00777CD6"/>
    <w:rsid w:val="00796925"/>
    <w:rsid w:val="007B2DC7"/>
    <w:rsid w:val="007F3F2F"/>
    <w:rsid w:val="00816BAF"/>
    <w:rsid w:val="00833202"/>
    <w:rsid w:val="008470C4"/>
    <w:rsid w:val="008543B2"/>
    <w:rsid w:val="00881479"/>
    <w:rsid w:val="00884405"/>
    <w:rsid w:val="008C2A2C"/>
    <w:rsid w:val="009332FB"/>
    <w:rsid w:val="00960CBD"/>
    <w:rsid w:val="009A65B7"/>
    <w:rsid w:val="009F521E"/>
    <w:rsid w:val="009F755D"/>
    <w:rsid w:val="00A07577"/>
    <w:rsid w:val="00A222C1"/>
    <w:rsid w:val="00A27D17"/>
    <w:rsid w:val="00A34082"/>
    <w:rsid w:val="00A61B7E"/>
    <w:rsid w:val="00B14234"/>
    <w:rsid w:val="00B25A6A"/>
    <w:rsid w:val="00B26B9B"/>
    <w:rsid w:val="00B537BD"/>
    <w:rsid w:val="00B55D2C"/>
    <w:rsid w:val="00B71FC3"/>
    <w:rsid w:val="00B90676"/>
    <w:rsid w:val="00BA7B1E"/>
    <w:rsid w:val="00BB34B5"/>
    <w:rsid w:val="00BD37A4"/>
    <w:rsid w:val="00BE6B00"/>
    <w:rsid w:val="00C53426"/>
    <w:rsid w:val="00C5401C"/>
    <w:rsid w:val="00C60F48"/>
    <w:rsid w:val="00C620A4"/>
    <w:rsid w:val="00C63FE6"/>
    <w:rsid w:val="00CB08F4"/>
    <w:rsid w:val="00CC5170"/>
    <w:rsid w:val="00CC581C"/>
    <w:rsid w:val="00D513C3"/>
    <w:rsid w:val="00D578E2"/>
    <w:rsid w:val="00D62F71"/>
    <w:rsid w:val="00D661AB"/>
    <w:rsid w:val="00D806EE"/>
    <w:rsid w:val="00DA551B"/>
    <w:rsid w:val="00DF19B4"/>
    <w:rsid w:val="00DF24B6"/>
    <w:rsid w:val="00E07DD7"/>
    <w:rsid w:val="00E35442"/>
    <w:rsid w:val="00E6242C"/>
    <w:rsid w:val="00E67093"/>
    <w:rsid w:val="00ED2543"/>
    <w:rsid w:val="00ED54BF"/>
    <w:rsid w:val="00EE0E83"/>
    <w:rsid w:val="00F14540"/>
    <w:rsid w:val="00F20772"/>
    <w:rsid w:val="00F361BE"/>
    <w:rsid w:val="00F457C1"/>
    <w:rsid w:val="00F8413C"/>
    <w:rsid w:val="00F93D34"/>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18506A"/>
  <w15:docId w15:val="{C0EEDB1A-4DAA-4AED-9774-1B0C88CB3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712833"/>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uiPriority w:val="99"/>
    <w:semiHidden/>
    <w:unhideWhenUsed/>
    <w:rsid w:val="00316456"/>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316456"/>
    <w:rPr>
      <w:sz w:val="20"/>
      <w:szCs w:val="20"/>
    </w:rPr>
  </w:style>
  <w:style w:type="character" w:styleId="Funotenzeichen">
    <w:name w:val="footnote reference"/>
    <w:basedOn w:val="Absatz-Standardschriftart"/>
    <w:uiPriority w:val="99"/>
    <w:semiHidden/>
    <w:unhideWhenUsed/>
    <w:rsid w:val="00316456"/>
    <w:rPr>
      <w:vertAlign w:val="superscript"/>
    </w:rPr>
  </w:style>
  <w:style w:type="character" w:styleId="Hyperlink">
    <w:name w:val="Hyperlink"/>
    <w:basedOn w:val="Absatz-Standardschriftart"/>
    <w:uiPriority w:val="99"/>
    <w:unhideWhenUsed/>
    <w:rsid w:val="000B051C"/>
    <w:rPr>
      <w:color w:val="0000FF"/>
      <w:u w:val="single"/>
    </w:rPr>
  </w:style>
  <w:style w:type="paragraph" w:styleId="Kopfzeile">
    <w:name w:val="header"/>
    <w:basedOn w:val="Standard"/>
    <w:link w:val="KopfzeileZchn"/>
    <w:uiPriority w:val="99"/>
    <w:unhideWhenUsed/>
    <w:rsid w:val="008C2A2C"/>
    <w:pPr>
      <w:tabs>
        <w:tab w:val="center" w:pos="4153"/>
        <w:tab w:val="right" w:pos="8306"/>
      </w:tabs>
      <w:spacing w:after="0" w:line="240" w:lineRule="auto"/>
    </w:pPr>
  </w:style>
  <w:style w:type="character" w:customStyle="1" w:styleId="KopfzeileZchn">
    <w:name w:val="Kopfzeile Zchn"/>
    <w:basedOn w:val="Absatz-Standardschriftart"/>
    <w:link w:val="Kopfzeile"/>
    <w:uiPriority w:val="99"/>
    <w:rsid w:val="008C2A2C"/>
  </w:style>
  <w:style w:type="paragraph" w:styleId="Fuzeile">
    <w:name w:val="footer"/>
    <w:basedOn w:val="Standard"/>
    <w:link w:val="FuzeileZchn"/>
    <w:uiPriority w:val="99"/>
    <w:unhideWhenUsed/>
    <w:rsid w:val="008C2A2C"/>
    <w:pPr>
      <w:tabs>
        <w:tab w:val="center" w:pos="4153"/>
        <w:tab w:val="right" w:pos="8306"/>
      </w:tabs>
      <w:spacing w:after="0" w:line="240" w:lineRule="auto"/>
    </w:pPr>
  </w:style>
  <w:style w:type="character" w:customStyle="1" w:styleId="FuzeileZchn">
    <w:name w:val="Fußzeile Zchn"/>
    <w:basedOn w:val="Absatz-Standardschriftart"/>
    <w:link w:val="Fuzeile"/>
    <w:uiPriority w:val="99"/>
    <w:rsid w:val="008C2A2C"/>
  </w:style>
  <w:style w:type="paragraph" w:styleId="Sprechblasentext">
    <w:name w:val="Balloon Text"/>
    <w:basedOn w:val="Standard"/>
    <w:link w:val="SprechblasentextZchn"/>
    <w:uiPriority w:val="99"/>
    <w:semiHidden/>
    <w:unhideWhenUsed/>
    <w:rsid w:val="008C2A2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C2A2C"/>
    <w:rPr>
      <w:rFonts w:ascii="Tahoma" w:hAnsi="Tahoma" w:cs="Tahoma"/>
      <w:sz w:val="16"/>
      <w:szCs w:val="16"/>
    </w:rPr>
  </w:style>
  <w:style w:type="paragraph" w:styleId="StandardWeb">
    <w:name w:val="Normal (Web)"/>
    <w:basedOn w:val="Standard"/>
    <w:uiPriority w:val="99"/>
    <w:semiHidden/>
    <w:unhideWhenUsed/>
    <w:rsid w:val="009F755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NichtaufgelsteErwhnung">
    <w:name w:val="Unresolved Mention"/>
    <w:basedOn w:val="Absatz-Standardschriftart"/>
    <w:uiPriority w:val="99"/>
    <w:semiHidden/>
    <w:unhideWhenUsed/>
    <w:rsid w:val="00BE6B00"/>
    <w:rPr>
      <w:color w:val="605E5C"/>
      <w:shd w:val="clear" w:color="auto" w:fill="E1DFDD"/>
    </w:rPr>
  </w:style>
  <w:style w:type="paragraph" w:customStyle="1" w:styleId="BodyA">
    <w:name w:val="Body A"/>
    <w:rsid w:val="001208AF"/>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val="en-US" w:eastAsia="de-DE"/>
    </w:rPr>
  </w:style>
  <w:style w:type="character" w:customStyle="1" w:styleId="None">
    <w:name w:val="None"/>
    <w:rsid w:val="001208AF"/>
  </w:style>
  <w:style w:type="character" w:customStyle="1" w:styleId="Hyperlink0">
    <w:name w:val="Hyperlink.0"/>
    <w:basedOn w:val="None"/>
    <w:rsid w:val="001208AF"/>
    <w:rPr>
      <w:rFonts w:ascii="Times New Roman" w:eastAsia="Times New Roman" w:hAnsi="Times New Roman" w:cs="Times New Roman"/>
      <w:color w:val="000000"/>
      <w:u w:val="none" w:color="000000"/>
    </w:rPr>
  </w:style>
  <w:style w:type="character" w:customStyle="1" w:styleId="Hyperlink1">
    <w:name w:val="Hyperlink.1"/>
    <w:basedOn w:val="None"/>
    <w:rsid w:val="001208AF"/>
    <w:rPr>
      <w:rFonts w:ascii="Times New Roman" w:eastAsia="Times New Roman" w:hAnsi="Times New Roman" w:cs="Times New Roman"/>
      <w:u w:color="000000"/>
    </w:rPr>
  </w:style>
  <w:style w:type="character" w:customStyle="1" w:styleId="Hyperlink2">
    <w:name w:val="Hyperlink.2"/>
    <w:basedOn w:val="None"/>
    <w:rsid w:val="001208AF"/>
    <w:rPr>
      <w:rFonts w:ascii="Times New Roman" w:eastAsia="Times New Roman" w:hAnsi="Times New Roman" w:cs="Times New Roman"/>
      <w:u w:color="000000"/>
      <w:lang w:val="pt-PT"/>
    </w:rPr>
  </w:style>
  <w:style w:type="character" w:customStyle="1" w:styleId="Hyperlink3">
    <w:name w:val="Hyperlink.3"/>
    <w:basedOn w:val="None"/>
    <w:rsid w:val="001208AF"/>
    <w:rPr>
      <w:rFonts w:ascii="Times New Roman" w:eastAsia="Times New Roman" w:hAnsi="Times New Roman" w:cs="Times New Roman"/>
      <w:u w:val="single" w:color="000000"/>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193223">
      <w:bodyDiv w:val="1"/>
      <w:marLeft w:val="0"/>
      <w:marRight w:val="0"/>
      <w:marTop w:val="0"/>
      <w:marBottom w:val="0"/>
      <w:divBdr>
        <w:top w:val="none" w:sz="0" w:space="0" w:color="auto"/>
        <w:left w:val="none" w:sz="0" w:space="0" w:color="auto"/>
        <w:bottom w:val="none" w:sz="0" w:space="0" w:color="auto"/>
        <w:right w:val="none" w:sz="0" w:space="0" w:color="auto"/>
      </w:divBdr>
    </w:div>
    <w:div w:id="212934324">
      <w:bodyDiv w:val="1"/>
      <w:marLeft w:val="0"/>
      <w:marRight w:val="0"/>
      <w:marTop w:val="0"/>
      <w:marBottom w:val="0"/>
      <w:divBdr>
        <w:top w:val="none" w:sz="0" w:space="0" w:color="auto"/>
        <w:left w:val="none" w:sz="0" w:space="0" w:color="auto"/>
        <w:bottom w:val="none" w:sz="0" w:space="0" w:color="auto"/>
        <w:right w:val="none" w:sz="0" w:space="0" w:color="auto"/>
      </w:divBdr>
    </w:div>
    <w:div w:id="827555220">
      <w:bodyDiv w:val="1"/>
      <w:marLeft w:val="0"/>
      <w:marRight w:val="0"/>
      <w:marTop w:val="0"/>
      <w:marBottom w:val="0"/>
      <w:divBdr>
        <w:top w:val="none" w:sz="0" w:space="0" w:color="auto"/>
        <w:left w:val="none" w:sz="0" w:space="0" w:color="auto"/>
        <w:bottom w:val="none" w:sz="0" w:space="0" w:color="auto"/>
        <w:right w:val="none" w:sz="0" w:space="0" w:color="auto"/>
      </w:divBdr>
    </w:div>
    <w:div w:id="182118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mavrikou@fu-berlin.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anan.badr@fu-berli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1177/1468796819833437" TargetMode="External"/><Relationship Id="rId5" Type="http://schemas.openxmlformats.org/officeDocument/2006/relationships/footnotes" Target="footnotes.xml"/><Relationship Id="rId10" Type="http://schemas.openxmlformats.org/officeDocument/2006/relationships/hyperlink" Target="https://doi.org/10.1002/casp.812" TargetMode="External"/><Relationship Id="rId4" Type="http://schemas.openxmlformats.org/officeDocument/2006/relationships/webSettings" Target="webSettings.xml"/><Relationship Id="rId9" Type="http://schemas.openxmlformats.org/officeDocument/2006/relationships/hyperlink" Target="https://doi.org/10.1177/1742766514552354" TargetMode="Externa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3D06A5-A8E0-4CFF-A406-9B940F815D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3091</Words>
  <Characters>19474</Characters>
  <Application>Microsoft Office Word</Application>
  <DocSecurity>0</DocSecurity>
  <Lines>162</Lines>
  <Paragraphs>45</Paragraphs>
  <ScaleCrop>false</ScaleCrop>
  <HeadingPairs>
    <vt:vector size="4" baseType="variant">
      <vt:variant>
        <vt:lpstr>Titel</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22520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Arslan, Sevda Can</cp:lastModifiedBy>
  <cp:revision>48</cp:revision>
  <cp:lastPrinted>2019-08-01T18:15:00Z</cp:lastPrinted>
  <dcterms:created xsi:type="dcterms:W3CDTF">2019-08-09T08:28:00Z</dcterms:created>
  <dcterms:modified xsi:type="dcterms:W3CDTF">2019-11-13T10:02:00Z</dcterms:modified>
</cp:coreProperties>
</file>